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0B973A" w14:textId="31C7C851" w:rsidR="00BF1316" w:rsidRPr="000A5497" w:rsidRDefault="00BF1316" w:rsidP="00BF1316">
      <w:pPr>
        <w:pStyle w:val="CRCoverPage"/>
        <w:tabs>
          <w:tab w:val="right" w:pos="9639"/>
        </w:tabs>
        <w:rPr>
          <w:b/>
          <w:noProof/>
          <w:lang w:val="en-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Meeting #107</w:t>
      </w:r>
      <w:r>
        <w:rPr>
          <w:rFonts w:hint="eastAsia"/>
          <w:b/>
          <w:noProof/>
          <w:sz w:val="24"/>
          <w:lang w:eastAsia="zh-CN"/>
        </w:rPr>
        <w:t>-</w:t>
      </w:r>
      <w:r>
        <w:rPr>
          <w:b/>
          <w:noProof/>
          <w:sz w:val="24"/>
        </w:rPr>
        <w:t>e                                              R1-</w:t>
      </w:r>
      <w:r w:rsidRPr="000A5497">
        <w:rPr>
          <w:rFonts w:eastAsia="Times New Roman" w:cs="Arial"/>
          <w:color w:val="000000"/>
          <w:sz w:val="16"/>
          <w:szCs w:val="16"/>
          <w:lang w:val="en-CN" w:eastAsia="zh-CN"/>
        </w:rPr>
        <w:t xml:space="preserve"> </w:t>
      </w:r>
      <w:r>
        <w:rPr>
          <w:b/>
          <w:noProof/>
          <w:sz w:val="24"/>
        </w:rPr>
        <w:t>211185</w:t>
      </w:r>
      <w:r>
        <w:rPr>
          <w:b/>
          <w:noProof/>
          <w:sz w:val="24"/>
        </w:rPr>
        <w:t>5</w:t>
      </w:r>
      <w:r>
        <w:rPr>
          <w:b/>
          <w:i/>
          <w:noProof/>
          <w:sz w:val="28"/>
        </w:rPr>
        <w:tab/>
      </w:r>
    </w:p>
    <w:p w14:paraId="12B58861" w14:textId="77777777" w:rsidR="00BF1316" w:rsidRPr="000C3D4F" w:rsidRDefault="00BF1316" w:rsidP="00BF1316">
      <w:pPr>
        <w:pStyle w:val="CRCoverPage"/>
        <w:outlineLvl w:val="0"/>
        <w:rPr>
          <w:rFonts w:eastAsia="MS Mincho" w:cs="Arial"/>
          <w:b/>
          <w:bCs/>
          <w:sz w:val="24"/>
          <w:szCs w:val="24"/>
          <w:lang w:eastAsia="ja-JP"/>
        </w:rPr>
      </w:pPr>
      <w:r w:rsidRPr="008573AD">
        <w:rPr>
          <w:rFonts w:eastAsia="MS Mincho" w:cs="Arial"/>
          <w:b/>
          <w:bCs/>
          <w:sz w:val="24"/>
          <w:szCs w:val="24"/>
          <w:lang w:eastAsia="ja-JP"/>
        </w:rPr>
        <w:t xml:space="preserve">e-Meeting, </w:t>
      </w:r>
      <w:r w:rsidRPr="007E35D5">
        <w:rPr>
          <w:rFonts w:eastAsia="MS Mincho" w:cs="Arial"/>
          <w:b/>
          <w:bCs/>
          <w:sz w:val="24"/>
          <w:szCs w:val="24"/>
          <w:lang w:val="en-CN" w:eastAsia="ja-JP"/>
        </w:rPr>
        <w:t>November 11</w:t>
      </w:r>
      <w:r w:rsidRPr="007E35D5">
        <w:rPr>
          <w:rFonts w:eastAsia="MS Mincho" w:cs="Arial"/>
          <w:b/>
          <w:bCs/>
          <w:sz w:val="24"/>
          <w:szCs w:val="24"/>
          <w:vertAlign w:val="superscript"/>
          <w:lang w:val="en-CN" w:eastAsia="ja-JP"/>
        </w:rPr>
        <w:t>th</w:t>
      </w:r>
      <w:r w:rsidRPr="007E35D5">
        <w:rPr>
          <w:rFonts w:eastAsia="MS Mincho" w:cs="Arial"/>
          <w:b/>
          <w:bCs/>
          <w:sz w:val="24"/>
          <w:szCs w:val="24"/>
          <w:lang w:val="en-CN" w:eastAsia="ja-JP"/>
        </w:rPr>
        <w:t xml:space="preserve"> – 19</w:t>
      </w:r>
      <w:r w:rsidRPr="007E35D5">
        <w:rPr>
          <w:rFonts w:eastAsia="MS Mincho" w:cs="Arial"/>
          <w:b/>
          <w:bCs/>
          <w:sz w:val="24"/>
          <w:szCs w:val="24"/>
          <w:vertAlign w:val="superscript"/>
          <w:lang w:val="en-CN" w:eastAsia="ja-JP"/>
        </w:rPr>
        <w:t>th</w:t>
      </w:r>
      <w:r w:rsidRPr="007E35D5">
        <w:rPr>
          <w:rFonts w:eastAsia="MS Mincho" w:cs="Arial"/>
          <w:b/>
          <w:bCs/>
          <w:sz w:val="24"/>
          <w:szCs w:val="24"/>
          <w:lang w:val="en-CN" w:eastAsia="ja-JP"/>
        </w:rPr>
        <w:t>, 2021</w:t>
      </w:r>
    </w:p>
    <w:p w14:paraId="7532909A" w14:textId="77777777" w:rsidR="00B23EB7" w:rsidRPr="004527EA" w:rsidRDefault="00B23EB7" w:rsidP="00B23EB7">
      <w:pPr>
        <w:tabs>
          <w:tab w:val="center" w:pos="4536"/>
          <w:tab w:val="right" w:pos="9072"/>
        </w:tabs>
        <w:rPr>
          <w:rFonts w:ascii="Arial" w:eastAsia="MS Mincho" w:hAnsi="Arial" w:cs="Arial"/>
          <w:b/>
          <w:bCs/>
          <w:lang w:val="en-GB" w:eastAsia="ja-JP"/>
        </w:rPr>
      </w:pPr>
    </w:p>
    <w:p w14:paraId="2FE24820" w14:textId="4F88BFE0"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FA538C">
        <w:rPr>
          <w:sz w:val="22"/>
          <w:szCs w:val="22"/>
        </w:rPr>
        <w:t>8.1.2.</w:t>
      </w:r>
      <w:r w:rsidR="008F535A">
        <w:rPr>
          <w:sz w:val="22"/>
          <w:szCs w:val="22"/>
        </w:rPr>
        <w:t>2</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3FE1BDE8" w:rsidR="00B23EB7" w:rsidRDefault="00B23EB7" w:rsidP="00B23EB7">
      <w:pPr>
        <w:pStyle w:val="3GPPHeader"/>
        <w:rPr>
          <w:sz w:val="22"/>
          <w:szCs w:val="22"/>
        </w:rPr>
      </w:pPr>
      <w:r w:rsidRPr="00315C6E">
        <w:rPr>
          <w:sz w:val="22"/>
          <w:szCs w:val="22"/>
        </w:rPr>
        <w:t>Title:</w:t>
      </w:r>
      <w:r w:rsidRPr="00315C6E">
        <w:rPr>
          <w:sz w:val="22"/>
          <w:szCs w:val="22"/>
        </w:rPr>
        <w:tab/>
      </w:r>
      <w:r w:rsidR="004B4D8D">
        <w:rPr>
          <w:sz w:val="22"/>
          <w:szCs w:val="22"/>
        </w:rPr>
        <w:t xml:space="preserve">On </w:t>
      </w:r>
      <w:r w:rsidR="008F535A">
        <w:rPr>
          <w:sz w:val="22"/>
          <w:szCs w:val="22"/>
        </w:rPr>
        <w:t>Inter-Cell Multi-TRP</w:t>
      </w:r>
      <w:r w:rsidR="004B4D8D">
        <w:rPr>
          <w:sz w:val="22"/>
          <w:szCs w:val="22"/>
        </w:rPr>
        <w:t xml:space="preserve"> Enhancement</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0BD0ADA2" w14:textId="1098052A" w:rsidR="003105DC" w:rsidRPr="00634AF5" w:rsidRDefault="00B23EB7" w:rsidP="00634AF5">
      <w:pPr>
        <w:pStyle w:val="Heading1"/>
      </w:pPr>
      <w:r w:rsidRPr="00315C6E">
        <w:t>Introduction</w:t>
      </w:r>
    </w:p>
    <w:p w14:paraId="788F1F5F" w14:textId="62880BBB" w:rsidR="00FA538C" w:rsidRDefault="00FA538C" w:rsidP="00FA538C">
      <w:pPr>
        <w:pStyle w:val="0Maintext"/>
        <w:spacing w:after="120" w:afterAutospacing="0" w:line="240" w:lineRule="auto"/>
        <w:ind w:firstLine="0"/>
        <w:rPr>
          <w:lang w:val="en-US"/>
        </w:rPr>
      </w:pPr>
      <w:r>
        <w:rPr>
          <w:lang w:val="en-US"/>
        </w:rPr>
        <w:t xml:space="preserve">In </w:t>
      </w:r>
      <w:r w:rsidR="004527EA">
        <w:rPr>
          <w:rFonts w:hint="eastAsia"/>
          <w:lang w:val="en-US" w:eastAsia="zh-CN"/>
        </w:rPr>
        <w:t>RAN</w:t>
      </w:r>
      <w:r w:rsidR="004527EA">
        <w:rPr>
          <w:lang w:val="en-US" w:eastAsia="zh-CN"/>
        </w:rPr>
        <w:t>1 #10</w:t>
      </w:r>
      <w:r w:rsidR="007D093D">
        <w:rPr>
          <w:lang w:val="en-US" w:eastAsia="zh-CN"/>
        </w:rPr>
        <w:t>6</w:t>
      </w:r>
      <w:r w:rsidR="00E87F52">
        <w:rPr>
          <w:lang w:val="en-US" w:eastAsia="zh-CN"/>
        </w:rPr>
        <w:t>b</w:t>
      </w:r>
      <w:r w:rsidR="004527EA">
        <w:rPr>
          <w:rFonts w:hint="eastAsia"/>
          <w:lang w:val="en-US" w:eastAsia="zh-CN"/>
        </w:rPr>
        <w:t xml:space="preserve"> </w:t>
      </w:r>
      <w:r w:rsidR="004527EA">
        <w:rPr>
          <w:lang w:val="en-US" w:eastAsia="zh-CN"/>
        </w:rPr>
        <w:t>meeting</w:t>
      </w:r>
      <w:r>
        <w:rPr>
          <w:rFonts w:hint="eastAsia"/>
          <w:lang w:val="en-US" w:eastAsia="zh-CN"/>
        </w:rPr>
        <w:t>,</w:t>
      </w:r>
      <w:r>
        <w:rPr>
          <w:lang w:val="en-US"/>
        </w:rPr>
        <w:t xml:space="preserve"> the following </w:t>
      </w:r>
      <w:r w:rsidR="004527EA">
        <w:rPr>
          <w:lang w:val="en-US"/>
        </w:rPr>
        <w:t>agreement on inter-cell multi-TRP operation have been achieved.</w:t>
      </w:r>
    </w:p>
    <w:tbl>
      <w:tblPr>
        <w:tblStyle w:val="TableGrid"/>
        <w:tblW w:w="0" w:type="auto"/>
        <w:tblLook w:val="04A0" w:firstRow="1" w:lastRow="0" w:firstColumn="1" w:lastColumn="0" w:noHBand="0" w:noVBand="1"/>
      </w:tblPr>
      <w:tblGrid>
        <w:gridCol w:w="9010"/>
      </w:tblGrid>
      <w:tr w:rsidR="00FA538C" w:rsidRPr="008F13BC" w14:paraId="3ECC7DF1" w14:textId="77777777" w:rsidTr="00B9698A">
        <w:tc>
          <w:tcPr>
            <w:tcW w:w="9010" w:type="dxa"/>
          </w:tcPr>
          <w:p w14:paraId="1D0A237C" w14:textId="77777777" w:rsidR="008F13BC" w:rsidRPr="008F13BC" w:rsidRDefault="008F13BC" w:rsidP="008F13BC">
            <w:pPr>
              <w:rPr>
                <w:rFonts w:eastAsia="SimSun" w:cs="Times"/>
                <w:sz w:val="20"/>
                <w:szCs w:val="20"/>
                <w:highlight w:val="green"/>
                <w:lang w:val="en-US"/>
              </w:rPr>
            </w:pPr>
            <w:r w:rsidRPr="008F13BC">
              <w:rPr>
                <w:rStyle w:val="normaltextrun"/>
                <w:rFonts w:cs="Times"/>
                <w:b/>
                <w:bCs/>
                <w:color w:val="000000"/>
                <w:sz w:val="20"/>
                <w:szCs w:val="20"/>
                <w:highlight w:val="green"/>
                <w:shd w:val="clear" w:color="auto" w:fill="FFFF00"/>
              </w:rPr>
              <w:t xml:space="preserve">Agreement </w:t>
            </w:r>
          </w:p>
          <w:p w14:paraId="28FFFB54" w14:textId="77777777" w:rsidR="008F13BC" w:rsidRPr="008F13BC" w:rsidRDefault="008F13BC" w:rsidP="008F13BC">
            <w:pPr>
              <w:numPr>
                <w:ilvl w:val="0"/>
                <w:numId w:val="35"/>
              </w:numPr>
              <w:jc w:val="both"/>
              <w:rPr>
                <w:rFonts w:cs="Times"/>
                <w:sz w:val="20"/>
                <w:szCs w:val="20"/>
              </w:rPr>
            </w:pPr>
            <w:r w:rsidRPr="008F13BC">
              <w:rPr>
                <w:rFonts w:cs="Times"/>
                <w:sz w:val="20"/>
                <w:szCs w:val="20"/>
              </w:rPr>
              <w:t>Center frequency, SCS, SFN offset are assumed to be the same for</w:t>
            </w:r>
            <w:r w:rsidRPr="008F13BC">
              <w:rPr>
                <w:rStyle w:val="apple-converted-space"/>
                <w:rFonts w:cs="Times"/>
                <w:sz w:val="20"/>
                <w:szCs w:val="20"/>
              </w:rPr>
              <w:t> </w:t>
            </w:r>
            <w:r w:rsidRPr="008F13BC">
              <w:rPr>
                <w:rFonts w:cs="Times"/>
                <w:sz w:val="20"/>
                <w:szCs w:val="20"/>
              </w:rPr>
              <w:t>SSBs from</w:t>
            </w:r>
            <w:r w:rsidRPr="008F13BC">
              <w:rPr>
                <w:rStyle w:val="apple-converted-space"/>
                <w:rFonts w:cs="Times"/>
                <w:sz w:val="20"/>
                <w:szCs w:val="20"/>
              </w:rPr>
              <w:t> </w:t>
            </w:r>
            <w:r w:rsidRPr="008F13BC">
              <w:rPr>
                <w:rFonts w:cs="Times"/>
                <w:sz w:val="20"/>
                <w:szCs w:val="20"/>
              </w:rPr>
              <w:t>the serving cell and the configured</w:t>
            </w:r>
            <w:r w:rsidRPr="008F13BC">
              <w:rPr>
                <w:rStyle w:val="apple-converted-space"/>
                <w:rFonts w:cs="Times"/>
                <w:sz w:val="20"/>
                <w:szCs w:val="20"/>
              </w:rPr>
              <w:t> </w:t>
            </w:r>
            <w:r w:rsidRPr="008F13BC">
              <w:rPr>
                <w:rFonts w:cs="Times"/>
                <w:sz w:val="20"/>
                <w:szCs w:val="20"/>
              </w:rPr>
              <w:t xml:space="preserve"> SSBs</w:t>
            </w:r>
            <w:r w:rsidRPr="008F13BC">
              <w:rPr>
                <w:rStyle w:val="apple-converted-space"/>
                <w:rFonts w:cs="Times"/>
                <w:sz w:val="20"/>
                <w:szCs w:val="20"/>
              </w:rPr>
              <w:t> </w:t>
            </w:r>
            <w:r w:rsidRPr="008F13BC">
              <w:rPr>
                <w:rFonts w:cs="Times"/>
                <w:sz w:val="20"/>
                <w:szCs w:val="20"/>
              </w:rPr>
              <w:t>with</w:t>
            </w:r>
            <w:r w:rsidRPr="008F13BC">
              <w:rPr>
                <w:rStyle w:val="apple-converted-space"/>
                <w:rFonts w:cs="Times"/>
                <w:sz w:val="20"/>
                <w:szCs w:val="20"/>
              </w:rPr>
              <w:t> </w:t>
            </w:r>
            <w:r w:rsidRPr="008F13BC">
              <w:rPr>
                <w:rFonts w:cs="Times"/>
                <w:sz w:val="20"/>
                <w:szCs w:val="20"/>
              </w:rPr>
              <w:t>PCI</w:t>
            </w:r>
            <w:r w:rsidRPr="008F13BC">
              <w:rPr>
                <w:rStyle w:val="apple-converted-space"/>
                <w:rFonts w:cs="Times"/>
                <w:sz w:val="20"/>
                <w:szCs w:val="20"/>
              </w:rPr>
              <w:t> </w:t>
            </w:r>
            <w:r w:rsidRPr="008F13BC">
              <w:rPr>
                <w:rFonts w:cs="Times"/>
                <w:sz w:val="20"/>
                <w:szCs w:val="20"/>
              </w:rPr>
              <w:t>different from the serving cell</w:t>
            </w:r>
            <w:r w:rsidRPr="008F13BC">
              <w:rPr>
                <w:rStyle w:val="apple-converted-space"/>
                <w:rFonts w:cs="Times"/>
                <w:sz w:val="20"/>
                <w:szCs w:val="20"/>
              </w:rPr>
              <w:t> </w:t>
            </w:r>
            <w:r w:rsidRPr="008F13BC">
              <w:rPr>
                <w:rFonts w:cs="Times"/>
                <w:sz w:val="20"/>
                <w:szCs w:val="20"/>
              </w:rPr>
              <w:t>for inter-cell multi TRP operation.</w:t>
            </w:r>
          </w:p>
          <w:p w14:paraId="7F599097" w14:textId="77777777" w:rsidR="008F13BC" w:rsidRPr="008F13BC" w:rsidRDefault="008F13BC" w:rsidP="008F13BC">
            <w:pPr>
              <w:numPr>
                <w:ilvl w:val="0"/>
                <w:numId w:val="35"/>
              </w:numPr>
              <w:jc w:val="both"/>
              <w:rPr>
                <w:rFonts w:cs="Times"/>
                <w:sz w:val="20"/>
                <w:szCs w:val="20"/>
              </w:rPr>
            </w:pPr>
            <w:r w:rsidRPr="008F13BC">
              <w:rPr>
                <w:rFonts w:cs="Times"/>
                <w:sz w:val="20"/>
                <w:szCs w:val="20"/>
              </w:rPr>
              <w:t>The information related to “SSB time domain position” for</w:t>
            </w:r>
            <w:r w:rsidRPr="008F13BC">
              <w:rPr>
                <w:rStyle w:val="apple-converted-space"/>
                <w:rFonts w:cs="Times"/>
                <w:sz w:val="20"/>
                <w:szCs w:val="20"/>
              </w:rPr>
              <w:t> </w:t>
            </w:r>
            <w:r w:rsidRPr="008F13BC">
              <w:rPr>
                <w:rFonts w:cs="Times"/>
                <w:sz w:val="20"/>
                <w:szCs w:val="20"/>
              </w:rPr>
              <w:t xml:space="preserve"> SSB</w:t>
            </w:r>
            <w:r w:rsidRPr="008F13BC">
              <w:rPr>
                <w:rStyle w:val="apple-converted-space"/>
                <w:rFonts w:cs="Times"/>
                <w:sz w:val="20"/>
                <w:szCs w:val="20"/>
              </w:rPr>
              <w:t> </w:t>
            </w:r>
            <w:r w:rsidRPr="008F13BC">
              <w:rPr>
                <w:rFonts w:cs="Times"/>
                <w:sz w:val="20"/>
                <w:szCs w:val="20"/>
              </w:rPr>
              <w:t>with PCI different from the serving cell</w:t>
            </w:r>
            <w:r w:rsidRPr="008F13BC">
              <w:rPr>
                <w:rStyle w:val="apple-converted-space"/>
                <w:rFonts w:cs="Times"/>
                <w:sz w:val="20"/>
                <w:szCs w:val="20"/>
              </w:rPr>
              <w:t> </w:t>
            </w:r>
            <w:r w:rsidRPr="008F13BC">
              <w:rPr>
                <w:rFonts w:cs="Times"/>
                <w:sz w:val="20"/>
                <w:szCs w:val="20"/>
              </w:rPr>
              <w:t>consists of [halfFrameIndex and] ssb-PositionsInBurst</w:t>
            </w:r>
          </w:p>
          <w:p w14:paraId="2A0CF136" w14:textId="77777777" w:rsidR="008F13BC" w:rsidRPr="008F13BC" w:rsidRDefault="008F13BC" w:rsidP="008F13BC">
            <w:pPr>
              <w:rPr>
                <w:sz w:val="20"/>
                <w:szCs w:val="20"/>
                <w:lang w:eastAsia="x-none"/>
              </w:rPr>
            </w:pPr>
          </w:p>
          <w:p w14:paraId="4D8E5DF0" w14:textId="77777777" w:rsidR="008F13BC" w:rsidRPr="008F13BC" w:rsidRDefault="008F13BC" w:rsidP="008F13BC">
            <w:pPr>
              <w:rPr>
                <w:rFonts w:eastAsia="SimSun" w:cs="Times"/>
                <w:sz w:val="20"/>
                <w:szCs w:val="20"/>
                <w:highlight w:val="green"/>
                <w:lang w:val="en-US"/>
              </w:rPr>
            </w:pPr>
            <w:r w:rsidRPr="008F13BC">
              <w:rPr>
                <w:rStyle w:val="normaltextrun"/>
                <w:rFonts w:cs="Times"/>
                <w:b/>
                <w:bCs/>
                <w:color w:val="000000"/>
                <w:sz w:val="20"/>
                <w:szCs w:val="20"/>
                <w:highlight w:val="green"/>
                <w:shd w:val="clear" w:color="auto" w:fill="FFFF00"/>
              </w:rPr>
              <w:t xml:space="preserve">Agreement </w:t>
            </w:r>
          </w:p>
          <w:p w14:paraId="69B6984D" w14:textId="77777777" w:rsidR="008F13BC" w:rsidRPr="008F13BC" w:rsidRDefault="008F13BC" w:rsidP="008F13BC">
            <w:pPr>
              <w:rPr>
                <w:rFonts w:cs="Times"/>
                <w:sz w:val="20"/>
                <w:szCs w:val="20"/>
              </w:rPr>
            </w:pPr>
            <w:r w:rsidRPr="008F13BC">
              <w:rPr>
                <w:rFonts w:cs="Times"/>
                <w:sz w:val="20"/>
                <w:szCs w:val="20"/>
              </w:rPr>
              <w:t>Support two independent X values (X1, X2) are reported as a UE capability for two different assumptions on additional SSB time domain position and periodicity with respect to serving cell SSB.</w:t>
            </w:r>
          </w:p>
          <w:p w14:paraId="1CFDB331" w14:textId="77777777" w:rsidR="008F13BC" w:rsidRPr="008F13BC" w:rsidRDefault="008F13BC" w:rsidP="008F13BC">
            <w:pPr>
              <w:numPr>
                <w:ilvl w:val="0"/>
                <w:numId w:val="36"/>
              </w:numPr>
              <w:rPr>
                <w:rFonts w:cs="Times"/>
                <w:sz w:val="20"/>
                <w:szCs w:val="20"/>
              </w:rPr>
            </w:pPr>
            <w:r w:rsidRPr="008F13BC">
              <w:rPr>
                <w:rFonts w:cs="Times"/>
                <w:sz w:val="20"/>
                <w:szCs w:val="20"/>
              </w:rPr>
              <w:t>X1 (Case 1)= The maximum number of configured additional PCIs when each configuration</w:t>
            </w:r>
            <w:r w:rsidRPr="008F13BC">
              <w:rPr>
                <w:rFonts w:cs="Times"/>
                <w:strike/>
                <w:sz w:val="20"/>
                <w:szCs w:val="20"/>
              </w:rPr>
              <w:t>s</w:t>
            </w:r>
            <w:r w:rsidRPr="008F13BC">
              <w:rPr>
                <w:rFonts w:cs="Times"/>
                <w:sz w:val="20"/>
                <w:szCs w:val="20"/>
              </w:rPr>
              <w:t xml:space="preserve"> of SSB time domain positions and periodicity of the additional PCIs is the same as SSB time domain positions and periodicity of the serving cell PCI</w:t>
            </w:r>
          </w:p>
          <w:p w14:paraId="4BD023E2" w14:textId="77777777" w:rsidR="008F13BC" w:rsidRPr="008F13BC" w:rsidRDefault="008F13BC" w:rsidP="008F13BC">
            <w:pPr>
              <w:numPr>
                <w:ilvl w:val="0"/>
                <w:numId w:val="36"/>
              </w:numPr>
              <w:rPr>
                <w:rFonts w:cs="Times"/>
                <w:sz w:val="20"/>
                <w:szCs w:val="20"/>
              </w:rPr>
            </w:pPr>
            <w:r w:rsidRPr="008F13BC">
              <w:rPr>
                <w:rFonts w:cs="Times"/>
                <w:sz w:val="20"/>
                <w:szCs w:val="20"/>
              </w:rPr>
              <w:t>X2 (Case 2)= The maximum number of configured additional PCIs when the configurations of SSB time domain positions and periodicity of the additional PCIs is not according to Case 1</w:t>
            </w:r>
          </w:p>
          <w:p w14:paraId="0AFD8114" w14:textId="77777777" w:rsidR="008F13BC" w:rsidRPr="008F13BC" w:rsidRDefault="008F13BC" w:rsidP="008F13BC">
            <w:pPr>
              <w:numPr>
                <w:ilvl w:val="0"/>
                <w:numId w:val="36"/>
              </w:numPr>
              <w:rPr>
                <w:rFonts w:cs="Times"/>
                <w:sz w:val="20"/>
                <w:szCs w:val="20"/>
              </w:rPr>
            </w:pPr>
            <w:r w:rsidRPr="008F13BC">
              <w:rPr>
                <w:rFonts w:cs="Times"/>
                <w:sz w:val="20"/>
                <w:szCs w:val="20"/>
              </w:rPr>
              <w:t>Note: By definition, Case 1 and Case 2 cannot be enabled simultaneously</w:t>
            </w:r>
          </w:p>
          <w:p w14:paraId="3A4D85ED" w14:textId="77777777" w:rsidR="008F13BC" w:rsidRPr="008F13BC" w:rsidRDefault="008F13BC" w:rsidP="008F13BC">
            <w:pPr>
              <w:numPr>
                <w:ilvl w:val="0"/>
                <w:numId w:val="36"/>
              </w:numPr>
              <w:rPr>
                <w:rFonts w:cs="Times"/>
                <w:sz w:val="20"/>
                <w:szCs w:val="20"/>
              </w:rPr>
            </w:pPr>
            <w:r w:rsidRPr="008F13BC">
              <w:rPr>
                <w:rFonts w:cs="Times"/>
                <w:sz w:val="20"/>
                <w:szCs w:val="20"/>
              </w:rPr>
              <w:t>Supported values for X1 and X2 include</w:t>
            </w:r>
            <w:r w:rsidRPr="008F13BC">
              <w:rPr>
                <w:rFonts w:cs="Times"/>
                <w:strike/>
                <w:sz w:val="20"/>
                <w:szCs w:val="20"/>
              </w:rPr>
              <w:t>s</w:t>
            </w:r>
            <w:r w:rsidRPr="008F13BC">
              <w:rPr>
                <w:rFonts w:cs="Times"/>
                <w:sz w:val="20"/>
                <w:szCs w:val="20"/>
              </w:rPr>
              <w:t xml:space="preserve"> at least 0,1,2,3 and 7. FFS on other values</w:t>
            </w:r>
          </w:p>
          <w:p w14:paraId="4B17AEA3" w14:textId="77777777" w:rsidR="008F13BC" w:rsidRPr="008F13BC" w:rsidRDefault="008F13BC" w:rsidP="008F13BC">
            <w:pPr>
              <w:numPr>
                <w:ilvl w:val="0"/>
                <w:numId w:val="36"/>
              </w:numPr>
              <w:rPr>
                <w:rFonts w:cs="Times"/>
                <w:sz w:val="20"/>
                <w:szCs w:val="20"/>
              </w:rPr>
            </w:pPr>
            <w:r w:rsidRPr="008F13BC">
              <w:rPr>
                <w:rFonts w:cs="Times"/>
                <w:sz w:val="20"/>
                <w:szCs w:val="20"/>
              </w:rPr>
              <w:t>This UE capability has FR1 and FR2 differentiation (FFS : Whether this UE capability is per UE or per band)</w:t>
            </w:r>
          </w:p>
          <w:p w14:paraId="5F32E6C8" w14:textId="77777777" w:rsidR="00FA538C" w:rsidRPr="008F13BC" w:rsidRDefault="00FA538C" w:rsidP="008F13BC">
            <w:pPr>
              <w:rPr>
                <w:sz w:val="20"/>
                <w:szCs w:val="20"/>
              </w:rPr>
            </w:pPr>
          </w:p>
        </w:tc>
      </w:tr>
    </w:tbl>
    <w:p w14:paraId="460866FC" w14:textId="77777777" w:rsidR="00FA538C" w:rsidRDefault="00FA538C" w:rsidP="00FA538C">
      <w:pPr>
        <w:pStyle w:val="0Maintext"/>
        <w:spacing w:after="120" w:afterAutospacing="0" w:line="240" w:lineRule="auto"/>
        <w:ind w:firstLine="0"/>
        <w:rPr>
          <w:lang w:val="en-US"/>
        </w:rPr>
      </w:pPr>
    </w:p>
    <w:p w14:paraId="4B63A29E" w14:textId="2CF026D4" w:rsidR="00FA538C" w:rsidRPr="0005612B" w:rsidRDefault="00FA538C" w:rsidP="00FA538C">
      <w:pPr>
        <w:pStyle w:val="0Maintext"/>
        <w:spacing w:after="120" w:afterAutospacing="0" w:line="240" w:lineRule="auto"/>
        <w:ind w:firstLine="0"/>
        <w:rPr>
          <w:lang w:val="en-US"/>
        </w:rPr>
      </w:pPr>
      <w:r>
        <w:rPr>
          <w:lang w:val="en-US"/>
        </w:rPr>
        <w:t xml:space="preserve">In this contribution, we provide some discussion on </w:t>
      </w:r>
      <w:r w:rsidR="008F535A">
        <w:rPr>
          <w:lang w:val="en-US"/>
        </w:rPr>
        <w:t>inter-cell multi-TRP</w:t>
      </w:r>
      <w:r>
        <w:rPr>
          <w:lang w:val="en-US"/>
        </w:rPr>
        <w:t xml:space="preserve"> enhancement.</w:t>
      </w:r>
    </w:p>
    <w:p w14:paraId="25996B17" w14:textId="53ACDE35" w:rsidR="00AC7C6D" w:rsidRPr="00AC7C6D" w:rsidRDefault="008F535A" w:rsidP="007D093D">
      <w:pPr>
        <w:pStyle w:val="Heading1"/>
      </w:pPr>
      <w:r>
        <w:t>Discussion</w:t>
      </w:r>
    </w:p>
    <w:p w14:paraId="6F9804BA" w14:textId="50427EB5" w:rsidR="003A7CA0" w:rsidRDefault="00FB6A72" w:rsidP="003A7CA0">
      <w:pPr>
        <w:pStyle w:val="Heading2"/>
      </w:pPr>
      <w:r>
        <w:t>Rate matching</w:t>
      </w:r>
    </w:p>
    <w:p w14:paraId="11B2D837" w14:textId="2F3C8F8E" w:rsidR="00FB6A72" w:rsidRDefault="00FB6A72" w:rsidP="004D79CD">
      <w:pPr>
        <w:pStyle w:val="0Maintext"/>
        <w:spacing w:after="120" w:afterAutospacing="0" w:line="240" w:lineRule="auto"/>
        <w:ind w:firstLine="0"/>
        <w:rPr>
          <w:lang w:val="en-US" w:eastAsia="zh-CN"/>
        </w:rPr>
      </w:pPr>
      <w:r>
        <w:rPr>
          <w:lang w:val="en-US" w:eastAsia="zh-CN"/>
        </w:rPr>
        <w:t xml:space="preserve">In RAN1 #104, it was agreed that </w:t>
      </w:r>
      <w:r w:rsidRPr="00631E79">
        <w:rPr>
          <w:rFonts w:cs="Times New Roman"/>
        </w:rPr>
        <w:t>PDSCH/PDCCH from non-serving cell (PCI) associated with TCI state and/or QCL-info is rate matched around non-serving cell SSB with the same PCI</w:t>
      </w:r>
      <w:r>
        <w:rPr>
          <w:lang w:val="en-US" w:eastAsia="zh-CN"/>
        </w:rPr>
        <w:t>. Thus, the remaining issue is whether the cross-cell rate matching is needed. This should depend on whether UE uses advanced receiver for interference cancellation. Since the non-serving cell SSB may be from different beams and some may create strong interference to the UE. So, it is better to introduce a UE capability on whether the cross-cell rate matching is needed.</w:t>
      </w:r>
    </w:p>
    <w:p w14:paraId="0639F6AE" w14:textId="3CC2B61A" w:rsidR="00232EDC" w:rsidRPr="00232EDC" w:rsidRDefault="00232EDC" w:rsidP="004D79CD">
      <w:pPr>
        <w:pStyle w:val="0Maintext"/>
        <w:spacing w:after="120" w:afterAutospacing="0" w:line="240" w:lineRule="auto"/>
        <w:ind w:firstLine="0"/>
        <w:rPr>
          <w:b/>
          <w:bCs/>
          <w:i/>
          <w:iCs/>
          <w:lang w:val="en-US" w:eastAsia="zh-CN"/>
        </w:rPr>
      </w:pPr>
      <w:r w:rsidRPr="00232EDC">
        <w:rPr>
          <w:b/>
          <w:bCs/>
          <w:i/>
          <w:iCs/>
          <w:lang w:val="en-US" w:eastAsia="zh-CN"/>
        </w:rPr>
        <w:t xml:space="preserve">Proposal </w:t>
      </w:r>
      <w:r w:rsidR="007D093D">
        <w:rPr>
          <w:b/>
          <w:bCs/>
          <w:i/>
          <w:iCs/>
          <w:lang w:val="en-US" w:eastAsia="zh-CN"/>
        </w:rPr>
        <w:t>1</w:t>
      </w:r>
      <w:r w:rsidRPr="00232EDC">
        <w:rPr>
          <w:b/>
          <w:bCs/>
          <w:i/>
          <w:iCs/>
          <w:lang w:val="en-US" w:eastAsia="zh-CN"/>
        </w:rPr>
        <w:t xml:space="preserve">: </w:t>
      </w:r>
      <w:r w:rsidR="00FB6A72">
        <w:rPr>
          <w:b/>
          <w:bCs/>
          <w:i/>
          <w:iCs/>
          <w:lang w:val="en-US" w:eastAsia="zh-CN"/>
        </w:rPr>
        <w:t>Support to introduce a UE capability to report the following information</w:t>
      </w:r>
    </w:p>
    <w:p w14:paraId="43A0A95D" w14:textId="15517424" w:rsidR="00FB6A72" w:rsidRPr="00FB6A72" w:rsidRDefault="00FB6A72" w:rsidP="00FB6A72">
      <w:pPr>
        <w:pStyle w:val="0Maintext"/>
        <w:numPr>
          <w:ilvl w:val="0"/>
          <w:numId w:val="25"/>
        </w:numPr>
        <w:spacing w:after="120" w:line="240" w:lineRule="auto"/>
        <w:rPr>
          <w:b/>
          <w:bCs/>
          <w:i/>
          <w:iCs/>
          <w:lang w:eastAsia="zh-CN"/>
        </w:rPr>
      </w:pPr>
      <w:r>
        <w:rPr>
          <w:b/>
          <w:bCs/>
          <w:i/>
          <w:iCs/>
          <w:lang w:eastAsia="zh-CN"/>
        </w:rPr>
        <w:t>W</w:t>
      </w:r>
      <w:r w:rsidRPr="00FB6A72">
        <w:rPr>
          <w:b/>
          <w:bCs/>
          <w:i/>
          <w:iCs/>
          <w:lang w:eastAsia="zh-CN"/>
        </w:rPr>
        <w:t xml:space="preserve">hether PDSCH /PDCCH from serving cell (PCI) is rate matched around non-serving cell SSB </w:t>
      </w:r>
    </w:p>
    <w:p w14:paraId="7A4ACE6A" w14:textId="3A832E51" w:rsidR="008F13BC" w:rsidRPr="008F13BC" w:rsidRDefault="00FB6A72" w:rsidP="008F13BC">
      <w:pPr>
        <w:pStyle w:val="0Maintext"/>
        <w:numPr>
          <w:ilvl w:val="0"/>
          <w:numId w:val="25"/>
        </w:numPr>
        <w:spacing w:after="120" w:line="240" w:lineRule="auto"/>
        <w:rPr>
          <w:b/>
          <w:bCs/>
          <w:i/>
          <w:iCs/>
        </w:rPr>
      </w:pPr>
      <w:r>
        <w:rPr>
          <w:b/>
          <w:bCs/>
          <w:i/>
          <w:iCs/>
        </w:rPr>
        <w:t>Whether</w:t>
      </w:r>
      <w:r w:rsidRPr="00FB6A72">
        <w:rPr>
          <w:b/>
          <w:bCs/>
          <w:i/>
          <w:iCs/>
        </w:rPr>
        <w:t xml:space="preserve"> PDSCH/PDCCH from non-serving cell (PCI) associated with TCI state and/or QCL-info is rate matched around serving cell SSB</w:t>
      </w:r>
    </w:p>
    <w:p w14:paraId="73E1E00E" w14:textId="77777777" w:rsidR="005B1C77" w:rsidRPr="00FF0F5D" w:rsidRDefault="005B1C77" w:rsidP="00FF0F5D">
      <w:pPr>
        <w:pStyle w:val="0Maintext"/>
        <w:spacing w:after="120" w:afterAutospacing="0" w:line="240" w:lineRule="auto"/>
        <w:ind w:firstLine="0"/>
        <w:rPr>
          <w:b/>
          <w:bCs/>
          <w:i/>
          <w:iCs/>
          <w:lang w:eastAsia="zh-CN"/>
        </w:rPr>
      </w:pPr>
    </w:p>
    <w:p w14:paraId="1A418CE6" w14:textId="7A0DDA04" w:rsidR="00FF0F5D" w:rsidRPr="00783181" w:rsidRDefault="00783181" w:rsidP="00783181">
      <w:pPr>
        <w:pStyle w:val="Heading2"/>
      </w:pPr>
      <w:r w:rsidRPr="00783181">
        <w:lastRenderedPageBreak/>
        <w:t>Simultaneous reception of SSB + other signal</w:t>
      </w:r>
    </w:p>
    <w:p w14:paraId="0B9A3F5F" w14:textId="06104B50" w:rsidR="00783181" w:rsidRDefault="00783181" w:rsidP="00FF0F5D">
      <w:pPr>
        <w:pStyle w:val="0Maintext"/>
        <w:spacing w:after="120" w:afterAutospacing="0" w:line="240" w:lineRule="auto"/>
        <w:ind w:firstLine="0"/>
        <w:rPr>
          <w:lang w:eastAsia="zh-CN"/>
        </w:rPr>
      </w:pPr>
      <w:r>
        <w:rPr>
          <w:lang w:eastAsia="zh-CN"/>
        </w:rPr>
        <w:t>For SSB + PDSCH and SSB + CSI-RS for BM, the following restriction to ensure the QCL is defined in38.214.</w:t>
      </w:r>
    </w:p>
    <w:tbl>
      <w:tblPr>
        <w:tblStyle w:val="TableGrid"/>
        <w:tblW w:w="0" w:type="auto"/>
        <w:tblLook w:val="04A0" w:firstRow="1" w:lastRow="0" w:firstColumn="1" w:lastColumn="0" w:noHBand="0" w:noVBand="1"/>
      </w:tblPr>
      <w:tblGrid>
        <w:gridCol w:w="9010"/>
      </w:tblGrid>
      <w:tr w:rsidR="00783181" w14:paraId="32781248" w14:textId="77777777" w:rsidTr="00783181">
        <w:tc>
          <w:tcPr>
            <w:tcW w:w="9010" w:type="dxa"/>
          </w:tcPr>
          <w:p w14:paraId="3EE35671" w14:textId="22C23195" w:rsidR="00783181" w:rsidRDefault="00783181" w:rsidP="00FF0F5D">
            <w:pPr>
              <w:pStyle w:val="0Maintext"/>
              <w:spacing w:after="120" w:afterAutospacing="0" w:line="240" w:lineRule="auto"/>
              <w:ind w:firstLine="0"/>
              <w:rPr>
                <w:lang w:eastAsia="zh-CN"/>
              </w:rPr>
            </w:pPr>
            <w:r>
              <w:rPr>
                <w:kern w:val="2"/>
                <w:lang w:eastAsia="ko-KR"/>
              </w:rPr>
              <w:t>If the UE receives the DM-RS for PDSCH and an SS/PBCH block in the same OFDM symbol(s), then the UE may assume that the DM-RS and SS/PBCH block are quasi co-located with 'typeD', if 'typeD' is applicable.</w:t>
            </w:r>
          </w:p>
        </w:tc>
      </w:tr>
    </w:tbl>
    <w:p w14:paraId="6D73AD9A" w14:textId="3FCC7771" w:rsidR="00783181" w:rsidRDefault="00783181" w:rsidP="00FF0F5D">
      <w:pPr>
        <w:pStyle w:val="0Maintext"/>
        <w:spacing w:after="120" w:afterAutospacing="0" w:line="240" w:lineRule="auto"/>
        <w:ind w:firstLine="0"/>
        <w:rPr>
          <w:lang w:eastAsia="zh-CN"/>
        </w:rPr>
      </w:pPr>
    </w:p>
    <w:tbl>
      <w:tblPr>
        <w:tblStyle w:val="TableGrid"/>
        <w:tblW w:w="0" w:type="auto"/>
        <w:tblLook w:val="04A0" w:firstRow="1" w:lastRow="0" w:firstColumn="1" w:lastColumn="0" w:noHBand="0" w:noVBand="1"/>
      </w:tblPr>
      <w:tblGrid>
        <w:gridCol w:w="9010"/>
      </w:tblGrid>
      <w:tr w:rsidR="00783181" w14:paraId="31D7710C" w14:textId="77777777" w:rsidTr="00783181">
        <w:tc>
          <w:tcPr>
            <w:tcW w:w="9010" w:type="dxa"/>
          </w:tcPr>
          <w:p w14:paraId="10DE0E4E" w14:textId="4FBE02D5" w:rsidR="00783181" w:rsidRDefault="005B1C77" w:rsidP="00FF0F5D">
            <w:pPr>
              <w:pStyle w:val="0Maintext"/>
              <w:spacing w:after="120" w:afterAutospacing="0" w:line="240" w:lineRule="auto"/>
              <w:ind w:firstLine="0"/>
              <w:rPr>
                <w:lang w:eastAsia="zh-CN"/>
              </w:rPr>
            </w:pPr>
            <w:r w:rsidRPr="003411AA">
              <w:rPr>
                <w:rFonts w:eastAsia="SimSun" w:cs="Times New Roman"/>
                <w:color w:val="000000" w:themeColor="text1"/>
                <w:kern w:val="2"/>
              </w:rPr>
              <w:t>If</w:t>
            </w:r>
            <w:r w:rsidRPr="003411AA">
              <w:rPr>
                <w:rFonts w:eastAsia="MS Mincho" w:cs="Times New Roman"/>
                <w:color w:val="000000"/>
              </w:rPr>
              <w:t xml:space="preserve"> the UE is configured with the CSI-RS resource in the same OFDM symbol(s) as an SS/PBCH block, the UE may assume that the CSI-RS and the SS/PBCH block are quasi co-located with 'QCL-TypeD' if 'QCL-TypeD' is applicable.</w:t>
            </w:r>
          </w:p>
        </w:tc>
      </w:tr>
    </w:tbl>
    <w:p w14:paraId="220F0FA8" w14:textId="392D2E72" w:rsidR="00783181" w:rsidRDefault="00783181" w:rsidP="00FF0F5D">
      <w:pPr>
        <w:pStyle w:val="0Maintext"/>
        <w:spacing w:after="120" w:afterAutospacing="0" w:line="240" w:lineRule="auto"/>
        <w:ind w:firstLine="0"/>
        <w:rPr>
          <w:lang w:eastAsia="zh-CN"/>
        </w:rPr>
      </w:pPr>
    </w:p>
    <w:p w14:paraId="155BA927" w14:textId="0C2E1174" w:rsidR="005B1C77" w:rsidRDefault="005B1C77" w:rsidP="00FF0F5D">
      <w:pPr>
        <w:pStyle w:val="0Maintext"/>
        <w:spacing w:after="120" w:afterAutospacing="0" w:line="240" w:lineRule="auto"/>
        <w:ind w:firstLine="0"/>
        <w:rPr>
          <w:lang w:eastAsia="zh-CN"/>
        </w:rPr>
      </w:pPr>
      <w:r>
        <w:rPr>
          <w:lang w:eastAsia="zh-CN"/>
        </w:rPr>
        <w:t>The QCL rule above should be applicable for signals associated with the same PCI. Further, it can also be extended to support SSB + other signals case.</w:t>
      </w:r>
    </w:p>
    <w:p w14:paraId="5E60435D" w14:textId="033629F8" w:rsidR="005B1C77" w:rsidRPr="005B1C77" w:rsidRDefault="005B1C77" w:rsidP="00FF0F5D">
      <w:pPr>
        <w:pStyle w:val="0Maintext"/>
        <w:spacing w:after="120" w:afterAutospacing="0" w:line="240" w:lineRule="auto"/>
        <w:ind w:firstLine="0"/>
        <w:rPr>
          <w:b/>
          <w:bCs/>
          <w:i/>
          <w:iCs/>
          <w:lang w:eastAsia="zh-CN"/>
        </w:rPr>
      </w:pPr>
      <w:r w:rsidRPr="005B1C77">
        <w:rPr>
          <w:b/>
          <w:bCs/>
          <w:i/>
          <w:iCs/>
          <w:lang w:eastAsia="zh-CN"/>
        </w:rPr>
        <w:t xml:space="preserve">Proposal </w:t>
      </w:r>
      <w:r w:rsidR="008F13BC">
        <w:rPr>
          <w:b/>
          <w:bCs/>
          <w:i/>
          <w:iCs/>
          <w:lang w:eastAsia="zh-CN"/>
        </w:rPr>
        <w:t>2</w:t>
      </w:r>
      <w:r w:rsidRPr="005B1C77">
        <w:rPr>
          <w:b/>
          <w:bCs/>
          <w:i/>
          <w:iCs/>
          <w:lang w:eastAsia="zh-CN"/>
        </w:rPr>
        <w:t>: If SSB collides with DL signals associated with the same PCI, gNB should ensure the DL signals and SSB are QCLed with QCL-TypeD.</w:t>
      </w:r>
    </w:p>
    <w:p w14:paraId="37229C99" w14:textId="3D6307D8" w:rsidR="00783181" w:rsidRDefault="00783181" w:rsidP="00FF0F5D">
      <w:pPr>
        <w:pStyle w:val="0Maintext"/>
        <w:spacing w:after="120" w:afterAutospacing="0" w:line="240" w:lineRule="auto"/>
        <w:ind w:firstLine="0"/>
        <w:rPr>
          <w:lang w:eastAsia="zh-CN"/>
        </w:rPr>
      </w:pPr>
    </w:p>
    <w:p w14:paraId="1B30AD95" w14:textId="39B1A385" w:rsidR="0064276A" w:rsidRDefault="0064276A" w:rsidP="0064276A">
      <w:pPr>
        <w:pStyle w:val="Heading2"/>
      </w:pPr>
      <w:r>
        <w:t>Serving cell change problem</w:t>
      </w:r>
    </w:p>
    <w:p w14:paraId="355A1012" w14:textId="4D21C210" w:rsidR="0064276A" w:rsidRDefault="0064276A" w:rsidP="00FF0F5D">
      <w:pPr>
        <w:pStyle w:val="0Maintext"/>
        <w:spacing w:after="120" w:afterAutospacing="0" w:line="240" w:lineRule="auto"/>
        <w:ind w:firstLine="0"/>
        <w:rPr>
          <w:lang w:eastAsia="zh-CN"/>
        </w:rPr>
      </w:pPr>
      <w:r>
        <w:rPr>
          <w:lang w:eastAsia="zh-CN"/>
        </w:rPr>
        <w:t xml:space="preserve">For inter-beam BM, it is required that the serving cell should not be changed, thus the non-UE dedicated signal should be QCLed indirectly with SSB from serving cell. For inter-cell mTRP, there is similar issues that the non-UE dedicated signal should not be QCLed with SSB from TRP with a different PCI. </w:t>
      </w:r>
    </w:p>
    <w:p w14:paraId="717E43AC" w14:textId="7C8E4490" w:rsidR="0064276A" w:rsidRDefault="0064276A" w:rsidP="00FF0F5D">
      <w:pPr>
        <w:pStyle w:val="0Maintext"/>
        <w:spacing w:after="120" w:afterAutospacing="0" w:line="240" w:lineRule="auto"/>
        <w:ind w:firstLine="0"/>
        <w:rPr>
          <w:b/>
          <w:bCs/>
          <w:i/>
          <w:iCs/>
          <w:lang w:eastAsia="zh-CN"/>
        </w:rPr>
      </w:pPr>
      <w:r w:rsidRPr="0064276A">
        <w:rPr>
          <w:b/>
          <w:bCs/>
          <w:i/>
          <w:iCs/>
          <w:lang w:eastAsia="zh-CN"/>
        </w:rPr>
        <w:t xml:space="preserve">Proposal </w:t>
      </w:r>
      <w:r w:rsidR="008F13BC">
        <w:rPr>
          <w:b/>
          <w:bCs/>
          <w:i/>
          <w:iCs/>
          <w:lang w:eastAsia="zh-CN"/>
        </w:rPr>
        <w:t>3</w:t>
      </w:r>
      <w:r w:rsidRPr="0064276A">
        <w:rPr>
          <w:b/>
          <w:bCs/>
          <w:i/>
          <w:iCs/>
          <w:lang w:eastAsia="zh-CN"/>
        </w:rPr>
        <w:t>: For inter-cell mTRP, the non-UE dedicated signal should be QCLed with SSB from serving cell indirectly</w:t>
      </w:r>
      <w:r w:rsidR="00C60E6D">
        <w:rPr>
          <w:b/>
          <w:bCs/>
          <w:i/>
          <w:iCs/>
          <w:lang w:eastAsia="zh-CN"/>
        </w:rPr>
        <w:t xml:space="preserve"> to make sure there is no serving cell change</w:t>
      </w:r>
      <w:r w:rsidRPr="0064276A">
        <w:rPr>
          <w:b/>
          <w:bCs/>
          <w:i/>
          <w:iCs/>
          <w:lang w:eastAsia="zh-CN"/>
        </w:rPr>
        <w:t>.</w:t>
      </w:r>
    </w:p>
    <w:p w14:paraId="429D212C" w14:textId="0F9E18B1" w:rsidR="008F13BC" w:rsidRPr="0064276A" w:rsidRDefault="008F13BC" w:rsidP="008F13BC">
      <w:pPr>
        <w:pStyle w:val="0Maintext"/>
        <w:numPr>
          <w:ilvl w:val="0"/>
          <w:numId w:val="37"/>
        </w:numPr>
        <w:spacing w:after="120" w:afterAutospacing="0" w:line="240" w:lineRule="auto"/>
        <w:rPr>
          <w:b/>
          <w:bCs/>
          <w:i/>
          <w:iCs/>
          <w:lang w:eastAsia="zh-CN"/>
        </w:rPr>
      </w:pPr>
      <w:r>
        <w:rPr>
          <w:b/>
          <w:bCs/>
          <w:i/>
          <w:iCs/>
          <w:lang w:eastAsia="zh-CN"/>
        </w:rPr>
        <w:t>The non-UE dedicated signal includes PDCCH/PDSCH associated with Type 0/0a/1 CSS.</w:t>
      </w:r>
    </w:p>
    <w:p w14:paraId="20F011E4" w14:textId="78E9419E" w:rsidR="0064276A" w:rsidRDefault="0064276A" w:rsidP="00FF0F5D">
      <w:pPr>
        <w:pStyle w:val="0Maintext"/>
        <w:spacing w:after="120" w:afterAutospacing="0" w:line="240" w:lineRule="auto"/>
        <w:ind w:firstLine="0"/>
        <w:rPr>
          <w:lang w:eastAsia="zh-CN"/>
        </w:rPr>
      </w:pPr>
    </w:p>
    <w:p w14:paraId="27874D9A" w14:textId="32D939B3" w:rsidR="008F13BC" w:rsidRDefault="008F13BC" w:rsidP="008F13BC">
      <w:pPr>
        <w:pStyle w:val="Heading2"/>
      </w:pPr>
      <w:r>
        <w:t>Additional info for non-serving cell</w:t>
      </w:r>
    </w:p>
    <w:p w14:paraId="7C826E95" w14:textId="245B1D35" w:rsidR="008F13BC" w:rsidRDefault="008F13BC" w:rsidP="00FF0F5D">
      <w:pPr>
        <w:pStyle w:val="0Maintext"/>
        <w:spacing w:after="120" w:afterAutospacing="0" w:line="240" w:lineRule="auto"/>
        <w:ind w:firstLine="0"/>
        <w:rPr>
          <w:lang w:val="en-US" w:eastAsia="zh-CN"/>
        </w:rPr>
      </w:pPr>
      <w:r>
        <w:rPr>
          <w:lang w:val="en-US" w:eastAsia="zh-CN"/>
        </w:rPr>
        <w:t>Currently some additional info for non-serving cell have been agreed, which are related to SSB configuration. However, some information on rate matching should be considered as well, as different cells may use different configurations for signal multiplexing. Such rate matching should also consider different LTE-CRS rate matching patterns for different cells. In Rel-16, TRP specific CRS rate matching pattern is supported, but Rel-17 supports up to 7 non-serving cells. Thus, one additional CRS rate matching pattern list for the second TRP is not sufficient. Therefore, the additional info for non-serving cell should include rate matching pattern as well as LTE-CRS rate matching pattern.</w:t>
      </w:r>
    </w:p>
    <w:p w14:paraId="3B2215F6" w14:textId="567C40E9" w:rsidR="008F13BC" w:rsidRPr="008F13BC" w:rsidRDefault="008F13BC" w:rsidP="00FF0F5D">
      <w:pPr>
        <w:pStyle w:val="0Maintext"/>
        <w:spacing w:after="120" w:afterAutospacing="0" w:line="240" w:lineRule="auto"/>
        <w:ind w:firstLine="0"/>
        <w:rPr>
          <w:b/>
          <w:bCs/>
          <w:i/>
          <w:iCs/>
          <w:lang w:val="en-US" w:eastAsia="zh-CN"/>
        </w:rPr>
      </w:pPr>
      <w:r w:rsidRPr="008F13BC">
        <w:rPr>
          <w:b/>
          <w:bCs/>
          <w:i/>
          <w:iCs/>
          <w:lang w:val="en-US" w:eastAsia="zh-CN"/>
        </w:rPr>
        <w:t>Proposal 4: Additional info for non-serving cell should include rate matching pattern as well as LTE-CRS rate matching pattern.</w:t>
      </w:r>
    </w:p>
    <w:p w14:paraId="5B81DD7A" w14:textId="201A738E" w:rsidR="008F13BC" w:rsidRDefault="008F13BC" w:rsidP="00FF0F5D">
      <w:pPr>
        <w:pStyle w:val="0Maintext"/>
        <w:spacing w:after="120" w:afterAutospacing="0" w:line="240" w:lineRule="auto"/>
        <w:ind w:firstLine="0"/>
        <w:rPr>
          <w:lang w:val="en-US" w:eastAsia="zh-CN"/>
        </w:rPr>
      </w:pPr>
    </w:p>
    <w:p w14:paraId="31CFC715" w14:textId="26EF2532" w:rsidR="008F13BC" w:rsidRDefault="008F13BC" w:rsidP="008F13BC">
      <w:pPr>
        <w:pStyle w:val="Heading2"/>
      </w:pPr>
      <w:r>
        <w:t>Cell ID for signal generation</w:t>
      </w:r>
    </w:p>
    <w:p w14:paraId="5E48F199" w14:textId="51B9D4F8" w:rsidR="005E05ED" w:rsidRDefault="008F13BC" w:rsidP="00FF0F5D">
      <w:pPr>
        <w:pStyle w:val="0Maintext"/>
        <w:spacing w:after="120" w:afterAutospacing="0" w:line="240" w:lineRule="auto"/>
        <w:ind w:firstLine="0"/>
        <w:rPr>
          <w:lang w:val="en-US" w:eastAsia="zh-CN"/>
        </w:rPr>
      </w:pPr>
      <w:r>
        <w:rPr>
          <w:lang w:val="en-US" w:eastAsia="zh-CN"/>
        </w:rPr>
        <w:t xml:space="preserve">Rel-15 supports the configuration of virtual cell ID for downlink signal generation. If the virtual cell ID is not configured, physical cell ID would be used. </w:t>
      </w:r>
      <w:r w:rsidR="005E05ED">
        <w:rPr>
          <w:lang w:val="en-US" w:eastAsia="zh-CN"/>
        </w:rPr>
        <w:t>For example, currently the virtual cell ID for PDSCH is defined as follows:</w:t>
      </w:r>
    </w:p>
    <w:tbl>
      <w:tblPr>
        <w:tblStyle w:val="TableGrid"/>
        <w:tblW w:w="0" w:type="auto"/>
        <w:tblLook w:val="04A0" w:firstRow="1" w:lastRow="0" w:firstColumn="1" w:lastColumn="0" w:noHBand="0" w:noVBand="1"/>
      </w:tblPr>
      <w:tblGrid>
        <w:gridCol w:w="9010"/>
      </w:tblGrid>
      <w:tr w:rsidR="005E05ED" w14:paraId="1B1EF0F3" w14:textId="77777777" w:rsidTr="005E05ED">
        <w:tc>
          <w:tcPr>
            <w:tcW w:w="9010" w:type="dxa"/>
          </w:tcPr>
          <w:p w14:paraId="0D0E50C1" w14:textId="77777777" w:rsidR="005E05ED" w:rsidRDefault="005E05ED" w:rsidP="005E05ED">
            <w:pPr>
              <w:pStyle w:val="B1"/>
            </w:pPr>
            <w:r>
              <w:t>-</w:t>
            </w:r>
            <w:r>
              <w:tab/>
            </w:r>
            <w:r w:rsidR="00823D1A" w:rsidRPr="0054108D">
              <w:rPr>
                <w:noProof/>
                <w:position w:val="-10"/>
              </w:rPr>
              <w:object w:dxaOrig="1500" w:dyaOrig="300" w14:anchorId="0134C6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5.7pt;height:15.25pt;mso-width-percent:0;mso-height-percent:0;mso-width-percent:0;mso-height-percent:0" o:ole="">
                  <v:imagedata r:id="rId5" o:title=""/>
                </v:shape>
                <o:OLEObject Type="Embed" ProgID="Equation.3" ShapeID="_x0000_i1025" DrawAspect="Content" ObjectID="_1697612893" r:id="rId6"/>
              </w:object>
            </w:r>
            <w:r>
              <w:t xml:space="preserve"> equals the higher-layer parameter </w:t>
            </w:r>
            <w:r w:rsidRPr="00B411F7">
              <w:rPr>
                <w:i/>
              </w:rPr>
              <w:t>dataScramblingIdentityPDSCH</w:t>
            </w:r>
            <w:r>
              <w:t xml:space="preserve"> if configured </w:t>
            </w:r>
            <w:r w:rsidRPr="00247AD9">
              <w:t>and the RNTI equals the C-RNTI</w:t>
            </w:r>
            <w:r>
              <w:t>, MCS-C-RNTI,</w:t>
            </w:r>
            <w:r w:rsidRPr="00923F0F">
              <w:t xml:space="preserve"> </w:t>
            </w:r>
            <w:r>
              <w:t>or CS-RNTI, and the transmission is not scheduled using DCI format 1_0 in a common search space;</w:t>
            </w:r>
            <w:r w:rsidRPr="00F8571F">
              <w:t xml:space="preserve"> </w:t>
            </w:r>
          </w:p>
          <w:p w14:paraId="793CB19C" w14:textId="77777777" w:rsidR="005E05ED" w:rsidRPr="00F00031" w:rsidRDefault="005E05ED" w:rsidP="005E05ED">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d>
                <m:dPr>
                  <m:begChr m:val="{"/>
                  <m:endChr m:val="}"/>
                  <m:ctrlPr>
                    <w:rPr>
                      <w:rFonts w:ascii="Cambria Math" w:hAnsi="Cambria Math"/>
                      <w:i/>
                    </w:rPr>
                  </m:ctrlPr>
                </m:dPr>
                <m:e>
                  <m:r>
                    <w:rPr>
                      <w:rFonts w:ascii="Cambria Math" w:hAnsi="Cambria Math"/>
                    </w:rPr>
                    <m:t>0,1,…,1023</m:t>
                  </m:r>
                </m:e>
              </m:d>
            </m:oMath>
            <w:r>
              <w:t xml:space="preserve"> equals</w:t>
            </w:r>
          </w:p>
          <w:p w14:paraId="2876A20A" w14:textId="77777777" w:rsidR="005E05ED" w:rsidRDefault="005E05ED" w:rsidP="005E05ED">
            <w:pPr>
              <w:pStyle w:val="B2"/>
            </w:pPr>
            <w:r>
              <w:t>-</w:t>
            </w:r>
            <w:r>
              <w:tab/>
              <w:t xml:space="preserve">the higher-layer parameter </w:t>
            </w:r>
            <w:r w:rsidRPr="005E6CCA">
              <w:rPr>
                <w:i/>
              </w:rPr>
              <w:t>dataScramblingIdentityPDSCH</w:t>
            </w:r>
            <w:r>
              <w:t xml:space="preserve"> if the codeword is scheduled using a CORESET with </w:t>
            </w:r>
            <w:r w:rsidRPr="005E6CCA">
              <w:rPr>
                <w:i/>
              </w:rPr>
              <w:t>CORESETPoolIndex</w:t>
            </w:r>
            <w:r>
              <w:t xml:space="preserve"> equal to 0;</w:t>
            </w:r>
          </w:p>
          <w:p w14:paraId="6A33108E" w14:textId="77777777" w:rsidR="005E05ED" w:rsidRDefault="005E05ED" w:rsidP="005E05ED">
            <w:pPr>
              <w:pStyle w:val="B2"/>
            </w:pPr>
            <w:r>
              <w:lastRenderedPageBreak/>
              <w:t>-</w:t>
            </w:r>
            <w:r>
              <w:tab/>
              <w:t xml:space="preserve">the higher-layer parameter </w:t>
            </w:r>
            <w:r w:rsidRPr="00864337">
              <w:rPr>
                <w:i/>
              </w:rPr>
              <w:t>dataScramblingIdentityPDSCH2</w:t>
            </w:r>
            <w:r>
              <w:t xml:space="preserve"> if the codeword is scheduled using a CORESET with </w:t>
            </w:r>
            <w:r w:rsidRPr="005E6CCA">
              <w:rPr>
                <w:i/>
              </w:rPr>
              <w:t>CORESETPoolIndex</w:t>
            </w:r>
            <w:r>
              <w:t xml:space="preserve"> equal to 1;</w:t>
            </w:r>
          </w:p>
          <w:p w14:paraId="440EF6E5" w14:textId="77777777" w:rsidR="005E05ED" w:rsidRDefault="005E05ED" w:rsidP="005E05ED">
            <w:pPr>
              <w:pStyle w:val="B1"/>
            </w:pPr>
            <w:r>
              <w:tab/>
              <w:t xml:space="preserve">if the higher-layer parameters </w:t>
            </w:r>
            <w:r w:rsidRPr="00F00031">
              <w:rPr>
                <w:i/>
              </w:rPr>
              <w:t>dataScramblingIdentityPDSCH</w:t>
            </w:r>
            <w:r>
              <w:t xml:space="preserve"> and </w:t>
            </w:r>
            <w:r w:rsidRPr="00864337">
              <w:rPr>
                <w:i/>
              </w:rPr>
              <w:t>dataScramblingIdentityPDSCH2</w:t>
            </w:r>
            <w:r>
              <w:t xml:space="preserve"> are configured together with the higher-layer parameter </w:t>
            </w:r>
            <w:r>
              <w:rPr>
                <w:i/>
              </w:rPr>
              <w:t>CORESETPoolIndex</w:t>
            </w:r>
            <w:r>
              <w:t xml:space="preserve"> containing two different values, and the </w:t>
            </w:r>
            <w:r w:rsidRPr="00F00031">
              <w:t>RNTI equals the C-RNTI, MCS-C-RNTI, or CS-RNTI, and the transmission is not scheduled using DCI format 1_0 in a common search space</w:t>
            </w:r>
            <w:r>
              <w:t>;</w:t>
            </w:r>
          </w:p>
          <w:p w14:paraId="7012C510" w14:textId="79766B32" w:rsidR="005E05ED" w:rsidRPr="005E05ED" w:rsidRDefault="005E05ED" w:rsidP="005E05ED">
            <w:pPr>
              <w:pStyle w:val="B1"/>
            </w:pPr>
            <w:r w:rsidRPr="005E05ED">
              <w:rPr>
                <w:highlight w:val="yellow"/>
              </w:rPr>
              <w:t>-</w:t>
            </w:r>
            <w:r w:rsidRPr="005E05ED">
              <w:rPr>
                <w:highlight w:val="yellow"/>
              </w:rPr>
              <w:tab/>
            </w:r>
            <m:oMath>
              <m:sSub>
                <m:sSubPr>
                  <m:ctrlPr>
                    <w:rPr>
                      <w:rFonts w:ascii="Cambria Math" w:hAnsi="Cambria Math"/>
                      <w:i/>
                      <w:highlight w:val="yellow"/>
                    </w:rPr>
                  </m:ctrlPr>
                </m:sSubPr>
                <m:e>
                  <m:r>
                    <w:rPr>
                      <w:rFonts w:ascii="Cambria Math" w:hAnsi="Cambria Math"/>
                      <w:highlight w:val="yellow"/>
                    </w:rPr>
                    <m:t>n</m:t>
                  </m:r>
                </m:e>
                <m:sub>
                  <m:r>
                    <m:rPr>
                      <m:nor/>
                    </m:rPr>
                    <w:rPr>
                      <w:rFonts w:ascii="Cambria Math" w:hAnsi="Cambria Math"/>
                      <w:highlight w:val="yellow"/>
                    </w:rPr>
                    <m:t>ID</m:t>
                  </m:r>
                </m:sub>
              </m:sSub>
              <m:r>
                <w:rPr>
                  <w:rFonts w:ascii="Cambria Math" w:hAnsi="Cambria Math"/>
                  <w:highlight w:val="yellow"/>
                </w:rPr>
                <m:t>=</m:t>
              </m:r>
              <m:sSubSup>
                <m:sSubSupPr>
                  <m:ctrlPr>
                    <w:rPr>
                      <w:rFonts w:ascii="Cambria Math" w:hAnsi="Cambria Math"/>
                      <w:i/>
                      <w:highlight w:val="yellow"/>
                    </w:rPr>
                  </m:ctrlPr>
                </m:sSubSupPr>
                <m:e>
                  <m:r>
                    <w:rPr>
                      <w:rFonts w:ascii="Cambria Math" w:hAnsi="Cambria Math"/>
                      <w:highlight w:val="yellow"/>
                    </w:rPr>
                    <m:t>N</m:t>
                  </m:r>
                </m:e>
                <m:sub>
                  <m:r>
                    <m:rPr>
                      <m:nor/>
                    </m:rPr>
                    <w:rPr>
                      <w:rFonts w:ascii="Cambria Math" w:hAnsi="Cambria Math"/>
                      <w:highlight w:val="yellow"/>
                    </w:rPr>
                    <m:t>ID</m:t>
                  </m:r>
                </m:sub>
                <m:sup>
                  <m:r>
                    <m:rPr>
                      <m:nor/>
                    </m:rPr>
                    <w:rPr>
                      <w:rFonts w:ascii="Cambria Math" w:hAnsi="Cambria Math"/>
                      <w:highlight w:val="yellow"/>
                    </w:rPr>
                    <m:t>cell</m:t>
                  </m:r>
                </m:sup>
              </m:sSubSup>
            </m:oMath>
            <w:r w:rsidRPr="005E05ED">
              <w:rPr>
                <w:highlight w:val="yellow"/>
              </w:rPr>
              <w:t xml:space="preserve"> otherwise</w:t>
            </w:r>
          </w:p>
        </w:tc>
      </w:tr>
    </w:tbl>
    <w:p w14:paraId="78CCAE66" w14:textId="77777777" w:rsidR="005E05ED" w:rsidRDefault="005E05ED" w:rsidP="00FF0F5D">
      <w:pPr>
        <w:pStyle w:val="0Maintext"/>
        <w:spacing w:after="120" w:afterAutospacing="0" w:line="240" w:lineRule="auto"/>
        <w:ind w:firstLine="0"/>
        <w:rPr>
          <w:lang w:val="en-US" w:eastAsia="zh-CN"/>
        </w:rPr>
      </w:pPr>
    </w:p>
    <w:p w14:paraId="3FA48E2D" w14:textId="0E41D4E7" w:rsidR="008F13BC" w:rsidRDefault="008F13BC" w:rsidP="00FF0F5D">
      <w:pPr>
        <w:pStyle w:val="0Maintext"/>
        <w:spacing w:after="120" w:afterAutospacing="0" w:line="240" w:lineRule="auto"/>
        <w:ind w:firstLine="0"/>
        <w:rPr>
          <w:lang w:val="en-US" w:eastAsia="zh-CN"/>
        </w:rPr>
      </w:pPr>
      <w:r>
        <w:rPr>
          <w:lang w:val="en-US" w:eastAsia="zh-CN"/>
        </w:rPr>
        <w:t xml:space="preserve">For inter-cell mTRP, </w:t>
      </w:r>
      <w:r w:rsidR="005E05ED">
        <w:rPr>
          <w:lang w:val="en-US" w:eastAsia="zh-CN"/>
        </w:rPr>
        <w:t xml:space="preserve">the definition of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005E05ED">
        <w:t xml:space="preserve"> needs to be clarified. </w:t>
      </w:r>
      <w:r w:rsidR="005E05ED">
        <w:rPr>
          <w:lang w:val="en-US" w:eastAsia="zh-CN"/>
        </w:rPr>
        <w:t>F</w:t>
      </w:r>
      <w:r>
        <w:rPr>
          <w:lang w:val="en-US" w:eastAsia="zh-CN"/>
        </w:rPr>
        <w:t>or signals associated with the non-serving cell, it is not reasonable to use PCI for serving cell as the default cell ID, but the PCI for the non-serving cell should be applied.</w:t>
      </w:r>
    </w:p>
    <w:p w14:paraId="54FC2466" w14:textId="28E3D95C" w:rsidR="008F13BC" w:rsidRPr="008F13BC" w:rsidRDefault="008F13BC" w:rsidP="00FF0F5D">
      <w:pPr>
        <w:pStyle w:val="0Maintext"/>
        <w:spacing w:after="120" w:afterAutospacing="0" w:line="240" w:lineRule="auto"/>
        <w:ind w:firstLine="0"/>
        <w:rPr>
          <w:b/>
          <w:bCs/>
          <w:i/>
          <w:iCs/>
          <w:lang w:val="en-US" w:eastAsia="zh-CN"/>
        </w:rPr>
      </w:pPr>
      <w:r w:rsidRPr="008F13BC">
        <w:rPr>
          <w:b/>
          <w:bCs/>
          <w:i/>
          <w:iCs/>
          <w:lang w:val="en-US" w:eastAsia="zh-CN"/>
        </w:rPr>
        <w:t>Proposal 5: For downlink signals associated with a non-serving cell, if virtual cell ID is not configured, the default ID should be PCI for the non-serving cell.</w:t>
      </w:r>
    </w:p>
    <w:p w14:paraId="78C1E74A" w14:textId="43661FDB" w:rsidR="008F13BC" w:rsidRDefault="008F13BC" w:rsidP="00FF0F5D">
      <w:pPr>
        <w:pStyle w:val="0Maintext"/>
        <w:spacing w:after="120" w:afterAutospacing="0" w:line="240" w:lineRule="auto"/>
        <w:ind w:firstLine="0"/>
        <w:rPr>
          <w:lang w:val="en-US" w:eastAsia="zh-CN"/>
        </w:rPr>
      </w:pPr>
    </w:p>
    <w:p w14:paraId="3FE0FBCF" w14:textId="45DE7276" w:rsidR="00AD1394" w:rsidRDefault="00AD1394" w:rsidP="00AD1394">
      <w:pPr>
        <w:pStyle w:val="Heading2"/>
      </w:pPr>
      <w:r>
        <w:t>Measurement delay for overlapped SSBs</w:t>
      </w:r>
    </w:p>
    <w:p w14:paraId="0A734C80" w14:textId="77777777" w:rsidR="00AD1394" w:rsidRDefault="00AD1394" w:rsidP="00FF0F5D">
      <w:pPr>
        <w:pStyle w:val="0Maintext"/>
        <w:spacing w:after="120" w:afterAutospacing="0" w:line="240" w:lineRule="auto"/>
        <w:ind w:firstLine="0"/>
        <w:rPr>
          <w:lang w:val="en-US" w:eastAsia="zh-CN"/>
        </w:rPr>
      </w:pPr>
      <w:r>
        <w:rPr>
          <w:lang w:val="en-US" w:eastAsia="zh-CN"/>
        </w:rPr>
        <w:t xml:space="preserve">The SSBs from different cells may be multiplexed in overlapped and non-overlapped manner as shown in Figure 1. </w:t>
      </w:r>
    </w:p>
    <w:p w14:paraId="385CB6AA" w14:textId="75DA9341" w:rsidR="00AD1394" w:rsidRDefault="00AD1394" w:rsidP="00FF0F5D">
      <w:pPr>
        <w:pStyle w:val="0Maintext"/>
        <w:spacing w:after="120" w:afterAutospacing="0" w:line="240" w:lineRule="auto"/>
        <w:ind w:firstLine="0"/>
        <w:rPr>
          <w:lang w:val="en-US" w:eastAsia="zh-CN"/>
        </w:rPr>
      </w:pPr>
      <w:r w:rsidRPr="00AD1394">
        <w:rPr>
          <w:noProof/>
          <w:lang w:val="en-US" w:eastAsia="zh-CN"/>
        </w:rPr>
        <w:drawing>
          <wp:inline distT="0" distB="0" distL="0" distR="0" wp14:anchorId="5D50178D" wp14:editId="19962C6C">
            <wp:extent cx="5727700" cy="3248660"/>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727700" cy="3248660"/>
                    </a:xfrm>
                    <a:prstGeom prst="rect">
                      <a:avLst/>
                    </a:prstGeom>
                  </pic:spPr>
                </pic:pic>
              </a:graphicData>
            </a:graphic>
          </wp:inline>
        </w:drawing>
      </w:r>
    </w:p>
    <w:p w14:paraId="272E7960" w14:textId="60B27FBE" w:rsidR="00AD1394" w:rsidRPr="00AD1394" w:rsidRDefault="00AD1394" w:rsidP="00AD1394">
      <w:pPr>
        <w:pStyle w:val="0Maintext"/>
        <w:spacing w:after="120" w:afterAutospacing="0" w:line="240" w:lineRule="auto"/>
        <w:ind w:firstLine="0"/>
        <w:jc w:val="center"/>
        <w:rPr>
          <w:b/>
          <w:bCs/>
          <w:lang w:val="en-US" w:eastAsia="zh-CN"/>
        </w:rPr>
      </w:pPr>
      <w:r w:rsidRPr="00AD1394">
        <w:rPr>
          <w:b/>
          <w:bCs/>
          <w:lang w:val="en-US" w:eastAsia="zh-CN"/>
        </w:rPr>
        <w:t>Figure 1: Potential SSB pattern from different cells</w:t>
      </w:r>
    </w:p>
    <w:p w14:paraId="743D993F" w14:textId="224D5276" w:rsidR="00AD1394" w:rsidRDefault="00AD1394" w:rsidP="00FF0F5D">
      <w:pPr>
        <w:pStyle w:val="0Maintext"/>
        <w:spacing w:after="120" w:afterAutospacing="0" w:line="240" w:lineRule="auto"/>
        <w:ind w:firstLine="0"/>
        <w:rPr>
          <w:lang w:val="en-US" w:eastAsia="zh-CN"/>
        </w:rPr>
      </w:pPr>
      <w:r>
        <w:rPr>
          <w:lang w:val="en-US" w:eastAsia="zh-CN"/>
        </w:rPr>
        <w:t>The UE complexity to measure overlapped SSBs and non-overlapped SSBs could be quite different. To measure L1-RSRP for overlapped SSBs, current Z3 and Z3’ should not be enough. The UE complexity may be as 8 times as Rel-15 L1-RSRP measurement in the worst case – the SSBs from 8 cells (1 serving cell + 7 non-serving cells) are fully overlapped. So additional delay for the Z3 and Z3’ should be considered. One possible way could be Z3+d and Z3’+d, where d indicates the number of overlapped symbols.</w:t>
      </w:r>
    </w:p>
    <w:p w14:paraId="2B75EC0E" w14:textId="66CA74E5" w:rsidR="00AD1394" w:rsidRDefault="00AD1394" w:rsidP="00AD1394">
      <w:pPr>
        <w:pStyle w:val="0Maintext"/>
        <w:spacing w:after="120" w:afterAutospacing="0" w:line="240" w:lineRule="auto"/>
        <w:ind w:firstLine="0"/>
        <w:rPr>
          <w:b/>
          <w:bCs/>
          <w:i/>
          <w:iCs/>
          <w:lang w:val="en-US" w:eastAsia="zh-CN"/>
        </w:rPr>
      </w:pPr>
      <w:r w:rsidRPr="00D54E04">
        <w:rPr>
          <w:b/>
          <w:bCs/>
          <w:i/>
          <w:iCs/>
          <w:lang w:val="en-US" w:eastAsia="zh-CN"/>
        </w:rPr>
        <w:t xml:space="preserve">Proposal </w:t>
      </w:r>
      <w:r>
        <w:rPr>
          <w:b/>
          <w:bCs/>
          <w:i/>
          <w:iCs/>
          <w:lang w:val="en-US" w:eastAsia="zh-CN"/>
        </w:rPr>
        <w:t>6</w:t>
      </w:r>
      <w:r w:rsidRPr="00D54E04">
        <w:rPr>
          <w:b/>
          <w:bCs/>
          <w:i/>
          <w:iCs/>
          <w:lang w:val="en-US" w:eastAsia="zh-CN"/>
        </w:rPr>
        <w:t>: With regard to minimal delay for L1-RSRP measurement from overlapped SSBs, additional delay should be introduced with Z=Z3+d and Z’=Z3’+d, where d indicates the number of symbols for the overlapped SSBs</w:t>
      </w:r>
    </w:p>
    <w:p w14:paraId="0B613689" w14:textId="77777777" w:rsidR="00AD1394" w:rsidRPr="008F13BC" w:rsidRDefault="00AD1394" w:rsidP="00FF0F5D">
      <w:pPr>
        <w:pStyle w:val="0Maintext"/>
        <w:spacing w:after="120" w:afterAutospacing="0" w:line="240" w:lineRule="auto"/>
        <w:ind w:firstLine="0"/>
        <w:rPr>
          <w:lang w:val="en-US" w:eastAsia="zh-CN"/>
        </w:rPr>
      </w:pPr>
    </w:p>
    <w:p w14:paraId="319B6700" w14:textId="2C7FF69F" w:rsidR="007A1F9E" w:rsidRDefault="007A1F9E" w:rsidP="007A1F9E">
      <w:pPr>
        <w:pStyle w:val="Heading1"/>
      </w:pPr>
      <w:r>
        <w:lastRenderedPageBreak/>
        <w:t>Conclusion</w:t>
      </w:r>
    </w:p>
    <w:p w14:paraId="493C61C7" w14:textId="64378CEF" w:rsidR="007A1F9E" w:rsidRDefault="007A1F9E" w:rsidP="00361704">
      <w:pPr>
        <w:pStyle w:val="0Maintext"/>
        <w:spacing w:after="120" w:afterAutospacing="0" w:line="240" w:lineRule="auto"/>
        <w:ind w:firstLine="0"/>
        <w:rPr>
          <w:lang w:val="en-US" w:eastAsia="zh-CN"/>
        </w:rPr>
      </w:pPr>
      <w:r>
        <w:rPr>
          <w:lang w:val="en-US" w:eastAsia="zh-CN"/>
        </w:rPr>
        <w:t xml:space="preserve">In this contribution, we discussed </w:t>
      </w:r>
      <w:r w:rsidR="00475A4C">
        <w:rPr>
          <w:lang w:val="en-US" w:eastAsia="zh-CN"/>
        </w:rPr>
        <w:t xml:space="preserve">inter-cell </w:t>
      </w:r>
      <w:r w:rsidR="002454C7">
        <w:rPr>
          <w:lang w:val="en-US" w:eastAsia="zh-CN"/>
        </w:rPr>
        <w:t>multi-TRP enhancement</w:t>
      </w:r>
      <w:r>
        <w:rPr>
          <w:lang w:val="en-US" w:eastAsia="zh-CN"/>
        </w:rPr>
        <w:t>. Based on the discussion, the following proposals have been achieved.</w:t>
      </w:r>
    </w:p>
    <w:p w14:paraId="4DFF6801" w14:textId="77777777" w:rsidR="0064276A" w:rsidRPr="00232EDC" w:rsidRDefault="0064276A" w:rsidP="0064276A">
      <w:pPr>
        <w:pStyle w:val="0Maintext"/>
        <w:spacing w:after="120" w:afterAutospacing="0" w:line="240" w:lineRule="auto"/>
        <w:ind w:firstLine="0"/>
        <w:rPr>
          <w:b/>
          <w:bCs/>
          <w:i/>
          <w:iCs/>
          <w:lang w:val="en-US" w:eastAsia="zh-CN"/>
        </w:rPr>
      </w:pPr>
      <w:r w:rsidRPr="00232EDC">
        <w:rPr>
          <w:b/>
          <w:bCs/>
          <w:i/>
          <w:iCs/>
          <w:lang w:val="en-US" w:eastAsia="zh-CN"/>
        </w:rPr>
        <w:t xml:space="preserve">Proposal </w:t>
      </w:r>
      <w:r>
        <w:rPr>
          <w:b/>
          <w:bCs/>
          <w:i/>
          <w:iCs/>
          <w:lang w:val="en-US" w:eastAsia="zh-CN"/>
        </w:rPr>
        <w:t>1</w:t>
      </w:r>
      <w:r w:rsidRPr="00232EDC">
        <w:rPr>
          <w:b/>
          <w:bCs/>
          <w:i/>
          <w:iCs/>
          <w:lang w:val="en-US" w:eastAsia="zh-CN"/>
        </w:rPr>
        <w:t xml:space="preserve">: </w:t>
      </w:r>
      <w:r>
        <w:rPr>
          <w:b/>
          <w:bCs/>
          <w:i/>
          <w:iCs/>
          <w:lang w:val="en-US" w:eastAsia="zh-CN"/>
        </w:rPr>
        <w:t>Support to introduce a UE capability to report the following information</w:t>
      </w:r>
    </w:p>
    <w:p w14:paraId="5A45DB9C" w14:textId="77777777" w:rsidR="0064276A" w:rsidRPr="00FB6A72" w:rsidRDefault="0064276A" w:rsidP="0064276A">
      <w:pPr>
        <w:pStyle w:val="0Maintext"/>
        <w:numPr>
          <w:ilvl w:val="0"/>
          <w:numId w:val="25"/>
        </w:numPr>
        <w:spacing w:after="120" w:line="240" w:lineRule="auto"/>
        <w:rPr>
          <w:b/>
          <w:bCs/>
          <w:i/>
          <w:iCs/>
          <w:lang w:eastAsia="zh-CN"/>
        </w:rPr>
      </w:pPr>
      <w:r>
        <w:rPr>
          <w:b/>
          <w:bCs/>
          <w:i/>
          <w:iCs/>
          <w:lang w:eastAsia="zh-CN"/>
        </w:rPr>
        <w:t>W</w:t>
      </w:r>
      <w:r w:rsidRPr="00FB6A72">
        <w:rPr>
          <w:b/>
          <w:bCs/>
          <w:i/>
          <w:iCs/>
          <w:lang w:eastAsia="zh-CN"/>
        </w:rPr>
        <w:t xml:space="preserve">hether PDSCH /PDCCH from serving cell (PCI) is rate matched around non-serving cell SSB </w:t>
      </w:r>
    </w:p>
    <w:p w14:paraId="4506C311" w14:textId="77777777" w:rsidR="0064276A" w:rsidRPr="007D093D" w:rsidRDefault="0064276A" w:rsidP="0064276A">
      <w:pPr>
        <w:pStyle w:val="0Maintext"/>
        <w:numPr>
          <w:ilvl w:val="0"/>
          <w:numId w:val="25"/>
        </w:numPr>
        <w:spacing w:after="120" w:line="240" w:lineRule="auto"/>
        <w:rPr>
          <w:b/>
          <w:bCs/>
          <w:i/>
          <w:iCs/>
        </w:rPr>
      </w:pPr>
      <w:r>
        <w:rPr>
          <w:b/>
          <w:bCs/>
          <w:i/>
          <w:iCs/>
        </w:rPr>
        <w:t>Whether</w:t>
      </w:r>
      <w:r w:rsidRPr="00FB6A72">
        <w:rPr>
          <w:b/>
          <w:bCs/>
          <w:i/>
          <w:iCs/>
        </w:rPr>
        <w:t xml:space="preserve"> PDSCH/PDCCH from non-serving cell (PCI) associated with TCI state and/or QCL-info is rate matched around serving cell SSB</w:t>
      </w:r>
    </w:p>
    <w:p w14:paraId="70C76010" w14:textId="55E51757" w:rsidR="0064276A" w:rsidRPr="005B1C77" w:rsidRDefault="0064276A" w:rsidP="0064276A">
      <w:pPr>
        <w:pStyle w:val="0Maintext"/>
        <w:spacing w:after="120" w:afterAutospacing="0" w:line="240" w:lineRule="auto"/>
        <w:ind w:firstLine="0"/>
        <w:rPr>
          <w:b/>
          <w:bCs/>
          <w:i/>
          <w:iCs/>
          <w:lang w:eastAsia="zh-CN"/>
        </w:rPr>
      </w:pPr>
      <w:r w:rsidRPr="005B1C77">
        <w:rPr>
          <w:b/>
          <w:bCs/>
          <w:i/>
          <w:iCs/>
          <w:lang w:eastAsia="zh-CN"/>
        </w:rPr>
        <w:t xml:space="preserve">Proposal </w:t>
      </w:r>
      <w:r w:rsidR="008F13BC">
        <w:rPr>
          <w:b/>
          <w:bCs/>
          <w:i/>
          <w:iCs/>
          <w:lang w:eastAsia="zh-CN"/>
        </w:rPr>
        <w:t>2</w:t>
      </w:r>
      <w:r w:rsidRPr="005B1C77">
        <w:rPr>
          <w:b/>
          <w:bCs/>
          <w:i/>
          <w:iCs/>
          <w:lang w:eastAsia="zh-CN"/>
        </w:rPr>
        <w:t>: If SSB collides with DL signals associated with the same PCI, gNB should ensure the DL signals and SSB are QCLed with QCL-TypeD.</w:t>
      </w:r>
    </w:p>
    <w:p w14:paraId="21033912" w14:textId="0A10EA8F" w:rsidR="008F13BC" w:rsidRDefault="008F13BC" w:rsidP="008F13BC">
      <w:pPr>
        <w:pStyle w:val="0Maintext"/>
        <w:spacing w:after="120" w:afterAutospacing="0" w:line="240" w:lineRule="auto"/>
        <w:ind w:firstLine="0"/>
        <w:rPr>
          <w:b/>
          <w:bCs/>
          <w:i/>
          <w:iCs/>
          <w:lang w:eastAsia="zh-CN"/>
        </w:rPr>
      </w:pPr>
      <w:r w:rsidRPr="0064276A">
        <w:rPr>
          <w:b/>
          <w:bCs/>
          <w:i/>
          <w:iCs/>
          <w:lang w:eastAsia="zh-CN"/>
        </w:rPr>
        <w:t xml:space="preserve">Proposal </w:t>
      </w:r>
      <w:r>
        <w:rPr>
          <w:b/>
          <w:bCs/>
          <w:i/>
          <w:iCs/>
          <w:lang w:eastAsia="zh-CN"/>
        </w:rPr>
        <w:t>3</w:t>
      </w:r>
      <w:r w:rsidRPr="0064276A">
        <w:rPr>
          <w:b/>
          <w:bCs/>
          <w:i/>
          <w:iCs/>
          <w:lang w:eastAsia="zh-CN"/>
        </w:rPr>
        <w:t>: For inter-cell mTRP, the non-UE dedicated signal should be QCLed with SSB from serving cell indirectly</w:t>
      </w:r>
      <w:r>
        <w:rPr>
          <w:b/>
          <w:bCs/>
          <w:i/>
          <w:iCs/>
          <w:lang w:eastAsia="zh-CN"/>
        </w:rPr>
        <w:t xml:space="preserve"> to make sure there is no serving cell change</w:t>
      </w:r>
      <w:r w:rsidRPr="0064276A">
        <w:rPr>
          <w:b/>
          <w:bCs/>
          <w:i/>
          <w:iCs/>
          <w:lang w:eastAsia="zh-CN"/>
        </w:rPr>
        <w:t>.</w:t>
      </w:r>
    </w:p>
    <w:p w14:paraId="13B11CBE" w14:textId="77777777" w:rsidR="008F13BC" w:rsidRPr="0064276A" w:rsidRDefault="008F13BC" w:rsidP="008F13BC">
      <w:pPr>
        <w:pStyle w:val="0Maintext"/>
        <w:numPr>
          <w:ilvl w:val="0"/>
          <w:numId w:val="37"/>
        </w:numPr>
        <w:spacing w:after="120" w:afterAutospacing="0" w:line="240" w:lineRule="auto"/>
        <w:rPr>
          <w:b/>
          <w:bCs/>
          <w:i/>
          <w:iCs/>
          <w:lang w:eastAsia="zh-CN"/>
        </w:rPr>
      </w:pPr>
      <w:r>
        <w:rPr>
          <w:b/>
          <w:bCs/>
          <w:i/>
          <w:iCs/>
          <w:lang w:eastAsia="zh-CN"/>
        </w:rPr>
        <w:t>The non-UE dedicated signal includes PDCCH/PDSCH associated with Type 0/0a/1 CSS.</w:t>
      </w:r>
    </w:p>
    <w:p w14:paraId="504A2A5B" w14:textId="77D30F7F" w:rsidR="008F13BC" w:rsidRDefault="008F13BC" w:rsidP="008F13BC">
      <w:pPr>
        <w:pStyle w:val="0Maintext"/>
        <w:spacing w:after="120" w:afterAutospacing="0" w:line="240" w:lineRule="auto"/>
        <w:ind w:firstLine="0"/>
        <w:rPr>
          <w:b/>
          <w:bCs/>
          <w:i/>
          <w:iCs/>
          <w:lang w:val="en-US" w:eastAsia="zh-CN"/>
        </w:rPr>
      </w:pPr>
      <w:r w:rsidRPr="008F13BC">
        <w:rPr>
          <w:b/>
          <w:bCs/>
          <w:i/>
          <w:iCs/>
          <w:lang w:val="en-US" w:eastAsia="zh-CN"/>
        </w:rPr>
        <w:t>Proposal 4: Additional info for non-serving cell should include rate matching pattern as well as LTE-CRS rate matching pattern.</w:t>
      </w:r>
    </w:p>
    <w:p w14:paraId="1064BC48" w14:textId="69F195E8" w:rsidR="008F13BC" w:rsidRDefault="008F13BC" w:rsidP="008F13BC">
      <w:pPr>
        <w:pStyle w:val="0Maintext"/>
        <w:spacing w:after="120" w:afterAutospacing="0" w:line="240" w:lineRule="auto"/>
        <w:ind w:firstLine="0"/>
        <w:rPr>
          <w:b/>
          <w:bCs/>
          <w:i/>
          <w:iCs/>
          <w:lang w:val="en-US" w:eastAsia="zh-CN"/>
        </w:rPr>
      </w:pPr>
      <w:r w:rsidRPr="008F13BC">
        <w:rPr>
          <w:b/>
          <w:bCs/>
          <w:i/>
          <w:iCs/>
          <w:lang w:val="en-US" w:eastAsia="zh-CN"/>
        </w:rPr>
        <w:t>Proposal 5: For downlink signals associated with a non-serving cell, if virtual cell ID is not configured, the default ID should be PCI for the non-serving cell.</w:t>
      </w:r>
    </w:p>
    <w:p w14:paraId="440A7CB5" w14:textId="77777777" w:rsidR="00AD1394" w:rsidRDefault="00AD1394" w:rsidP="00AD1394">
      <w:pPr>
        <w:pStyle w:val="0Maintext"/>
        <w:spacing w:after="120" w:afterAutospacing="0" w:line="240" w:lineRule="auto"/>
        <w:ind w:firstLine="0"/>
        <w:rPr>
          <w:b/>
          <w:bCs/>
          <w:i/>
          <w:iCs/>
          <w:lang w:val="en-US" w:eastAsia="zh-CN"/>
        </w:rPr>
      </w:pPr>
      <w:r w:rsidRPr="00D54E04">
        <w:rPr>
          <w:b/>
          <w:bCs/>
          <w:i/>
          <w:iCs/>
          <w:lang w:val="en-US" w:eastAsia="zh-CN"/>
        </w:rPr>
        <w:t xml:space="preserve">Proposal </w:t>
      </w:r>
      <w:r>
        <w:rPr>
          <w:b/>
          <w:bCs/>
          <w:i/>
          <w:iCs/>
          <w:lang w:val="en-US" w:eastAsia="zh-CN"/>
        </w:rPr>
        <w:t>6</w:t>
      </w:r>
      <w:r w:rsidRPr="00D54E04">
        <w:rPr>
          <w:b/>
          <w:bCs/>
          <w:i/>
          <w:iCs/>
          <w:lang w:val="en-US" w:eastAsia="zh-CN"/>
        </w:rPr>
        <w:t>: With regard to minimal delay for L1-RSRP measurement from overlapped SSBs, additional delay should be introduced with Z=Z3+d and Z’=Z3’+d, where d indicates the number of symbols for the overlapped SSBs</w:t>
      </w:r>
    </w:p>
    <w:p w14:paraId="7410D00D" w14:textId="77777777" w:rsidR="00AD1394" w:rsidRPr="008F13BC" w:rsidRDefault="00AD1394" w:rsidP="008F13BC">
      <w:pPr>
        <w:pStyle w:val="0Maintext"/>
        <w:spacing w:after="120" w:afterAutospacing="0" w:line="240" w:lineRule="auto"/>
        <w:ind w:firstLine="0"/>
        <w:rPr>
          <w:b/>
          <w:bCs/>
          <w:i/>
          <w:iCs/>
          <w:lang w:val="en-US" w:eastAsia="zh-CN"/>
        </w:rPr>
      </w:pPr>
    </w:p>
    <w:p w14:paraId="3955171E" w14:textId="77777777" w:rsidR="008F13BC" w:rsidRPr="008F13BC" w:rsidRDefault="008F13BC" w:rsidP="008F13BC">
      <w:pPr>
        <w:pStyle w:val="0Maintext"/>
        <w:spacing w:after="120" w:afterAutospacing="0" w:line="240" w:lineRule="auto"/>
        <w:ind w:firstLine="0"/>
        <w:rPr>
          <w:b/>
          <w:bCs/>
          <w:i/>
          <w:iCs/>
          <w:lang w:val="en-US" w:eastAsia="zh-CN"/>
        </w:rPr>
      </w:pPr>
    </w:p>
    <w:p w14:paraId="733195BB" w14:textId="77777777" w:rsidR="008F13BC" w:rsidRPr="008F13BC" w:rsidRDefault="008F13BC" w:rsidP="00041988">
      <w:pPr>
        <w:pStyle w:val="0Maintext"/>
        <w:spacing w:after="120" w:afterAutospacing="0" w:line="240" w:lineRule="auto"/>
        <w:rPr>
          <w:lang w:val="en-US"/>
        </w:rPr>
      </w:pPr>
    </w:p>
    <w:sectPr w:rsidR="008F13BC" w:rsidRPr="008F13BC" w:rsidSect="005B0F7A">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000006"/>
    <w:multiLevelType w:val="hybridMultilevel"/>
    <w:tmpl w:val="00000006"/>
    <w:lvl w:ilvl="0" w:tplc="000001F5">
      <w:start w:val="1"/>
      <w:numFmt w:val="bullet"/>
      <w:lvlText w:val="•"/>
      <w:lvlJc w:val="left"/>
      <w:pPr>
        <w:ind w:left="720" w:hanging="360"/>
      </w:pPr>
    </w:lvl>
    <w:lvl w:ilvl="1" w:tplc="000001F6">
      <w:start w:val="1"/>
      <w:numFmt w:val="bullet"/>
      <w:lvlText w:val="◦"/>
      <w:lvlJc w:val="left"/>
      <w:pPr>
        <w:ind w:left="1440" w:hanging="360"/>
      </w:pPr>
    </w:lvl>
    <w:lvl w:ilvl="2" w:tplc="000001F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981661"/>
    <w:multiLevelType w:val="hybridMultilevel"/>
    <w:tmpl w:val="E79AC0B4"/>
    <w:lvl w:ilvl="0" w:tplc="04090001">
      <w:start w:val="1"/>
      <w:numFmt w:val="bullet"/>
      <w:lvlText w:val=""/>
      <w:lvlJc w:val="left"/>
      <w:pPr>
        <w:ind w:left="821" w:hanging="360"/>
      </w:pPr>
      <w:rPr>
        <w:rFonts w:ascii="Symbol" w:hAnsi="Symbol" w:hint="default"/>
      </w:rPr>
    </w:lvl>
    <w:lvl w:ilvl="1" w:tplc="04090003">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5" w15:restartNumberingAfterBreak="0">
    <w:nsid w:val="10291705"/>
    <w:multiLevelType w:val="hybridMultilevel"/>
    <w:tmpl w:val="903026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32A6FBE"/>
    <w:multiLevelType w:val="hybridMultilevel"/>
    <w:tmpl w:val="BF7CB0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2E2D4E"/>
    <w:multiLevelType w:val="hybridMultilevel"/>
    <w:tmpl w:val="57C48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5611CF"/>
    <w:multiLevelType w:val="multilevel"/>
    <w:tmpl w:val="D6F85F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C4B1FD6"/>
    <w:multiLevelType w:val="hybridMultilevel"/>
    <w:tmpl w:val="243C6E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10E4053"/>
    <w:multiLevelType w:val="hybridMultilevel"/>
    <w:tmpl w:val="F37EB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2" w15:restartNumberingAfterBreak="0">
    <w:nsid w:val="2C765C81"/>
    <w:multiLevelType w:val="hybridMultilevel"/>
    <w:tmpl w:val="C01EF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277D25"/>
    <w:multiLevelType w:val="hybridMultilevel"/>
    <w:tmpl w:val="956CD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1B52221"/>
    <w:multiLevelType w:val="hybridMultilevel"/>
    <w:tmpl w:val="15549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290CC9"/>
    <w:multiLevelType w:val="hybridMultilevel"/>
    <w:tmpl w:val="60260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AF2B29"/>
    <w:multiLevelType w:val="hybridMultilevel"/>
    <w:tmpl w:val="F7482E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887BD8"/>
    <w:multiLevelType w:val="hybridMultilevel"/>
    <w:tmpl w:val="DD162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C182E5A"/>
    <w:multiLevelType w:val="hybridMultilevel"/>
    <w:tmpl w:val="C0480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537B25"/>
    <w:multiLevelType w:val="hybridMultilevel"/>
    <w:tmpl w:val="FC922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23" w15:restartNumberingAfterBreak="0">
    <w:nsid w:val="482D2D8E"/>
    <w:multiLevelType w:val="hybridMultilevel"/>
    <w:tmpl w:val="F170D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F17B27"/>
    <w:multiLevelType w:val="hybridMultilevel"/>
    <w:tmpl w:val="CCA8C8A6"/>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6" w15:restartNumberingAfterBreak="0">
    <w:nsid w:val="4DCD6C3B"/>
    <w:multiLevelType w:val="hybridMultilevel"/>
    <w:tmpl w:val="B386A8F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FDF35EB"/>
    <w:multiLevelType w:val="hybridMultilevel"/>
    <w:tmpl w:val="6A745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8D6E14"/>
    <w:multiLevelType w:val="hybridMultilevel"/>
    <w:tmpl w:val="6D12C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AE078C"/>
    <w:multiLevelType w:val="hybridMultilevel"/>
    <w:tmpl w:val="FD10FD1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2" w15:restartNumberingAfterBreak="0">
    <w:nsid w:val="71813E28"/>
    <w:multiLevelType w:val="hybridMultilevel"/>
    <w:tmpl w:val="9F50263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BA23E6C"/>
    <w:multiLevelType w:val="hybridMultilevel"/>
    <w:tmpl w:val="D1B21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1"/>
  </w:num>
  <w:num w:numId="3">
    <w:abstractNumId w:val="9"/>
  </w:num>
  <w:num w:numId="4">
    <w:abstractNumId w:val="1"/>
  </w:num>
  <w:num w:numId="5">
    <w:abstractNumId w:val="32"/>
  </w:num>
  <w:num w:numId="6">
    <w:abstractNumId w:val="33"/>
  </w:num>
  <w:num w:numId="7">
    <w:abstractNumId w:val="2"/>
  </w:num>
  <w:num w:numId="8">
    <w:abstractNumId w:val="12"/>
  </w:num>
  <w:num w:numId="9">
    <w:abstractNumId w:val="7"/>
  </w:num>
  <w:num w:numId="10">
    <w:abstractNumId w:val="4"/>
  </w:num>
  <w:num w:numId="11">
    <w:abstractNumId w:val="15"/>
  </w:num>
  <w:num w:numId="12">
    <w:abstractNumId w:val="13"/>
  </w:num>
  <w:num w:numId="1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25"/>
  </w:num>
  <w:num w:numId="15">
    <w:abstractNumId w:val="20"/>
  </w:num>
  <w:num w:numId="16">
    <w:abstractNumId w:val="31"/>
  </w:num>
  <w:num w:numId="17">
    <w:abstractNumId w:val="24"/>
  </w:num>
  <w:num w:numId="18">
    <w:abstractNumId w:val="26"/>
  </w:num>
  <w:num w:numId="19">
    <w:abstractNumId w:val="17"/>
  </w:num>
  <w:num w:numId="20">
    <w:abstractNumId w:val="34"/>
  </w:num>
  <w:num w:numId="21">
    <w:abstractNumId w:val="28"/>
  </w:num>
  <w:num w:numId="22">
    <w:abstractNumId w:val="21"/>
  </w:num>
  <w:num w:numId="23">
    <w:abstractNumId w:val="29"/>
  </w:num>
  <w:num w:numId="24">
    <w:abstractNumId w:val="19"/>
  </w:num>
  <w:num w:numId="25">
    <w:abstractNumId w:val="23"/>
  </w:num>
  <w:num w:numId="26">
    <w:abstractNumId w:val="27"/>
  </w:num>
  <w:num w:numId="27">
    <w:abstractNumId w:val="18"/>
  </w:num>
  <w:num w:numId="28">
    <w:abstractNumId w:val="22"/>
  </w:num>
  <w:num w:numId="29">
    <w:abstractNumId w:val="16"/>
  </w:num>
  <w:num w:numId="30">
    <w:abstractNumId w:val="30"/>
  </w:num>
  <w:num w:numId="31">
    <w:abstractNumId w:val="6"/>
  </w:num>
  <w:num w:numId="32">
    <w:abstractNumId w:val="3"/>
  </w:num>
  <w:num w:numId="33">
    <w:abstractNumId w:val="14"/>
  </w:num>
  <w:num w:numId="34">
    <w:abstractNumId w:val="3"/>
  </w:num>
  <w:num w:numId="35">
    <w:abstractNumId w:val="5"/>
  </w:num>
  <w:num w:numId="36">
    <w:abstractNumId w:val="8"/>
  </w:num>
  <w:num w:numId="37">
    <w:abstractNumId w:val="10"/>
  </w:num>
  <w:num w:numId="38">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17B94"/>
    <w:rsid w:val="00017E93"/>
    <w:rsid w:val="000212EC"/>
    <w:rsid w:val="00031D27"/>
    <w:rsid w:val="00031E68"/>
    <w:rsid w:val="000354D1"/>
    <w:rsid w:val="00037696"/>
    <w:rsid w:val="00037E22"/>
    <w:rsid w:val="00041988"/>
    <w:rsid w:val="00044CC2"/>
    <w:rsid w:val="00046585"/>
    <w:rsid w:val="00050D4A"/>
    <w:rsid w:val="000531E2"/>
    <w:rsid w:val="00055D16"/>
    <w:rsid w:val="00055F76"/>
    <w:rsid w:val="0005612B"/>
    <w:rsid w:val="000605BB"/>
    <w:rsid w:val="00062AD2"/>
    <w:rsid w:val="0006765A"/>
    <w:rsid w:val="0007732F"/>
    <w:rsid w:val="00085223"/>
    <w:rsid w:val="000A1890"/>
    <w:rsid w:val="000D0B8C"/>
    <w:rsid w:val="000D0F78"/>
    <w:rsid w:val="000D2660"/>
    <w:rsid w:val="000E10FE"/>
    <w:rsid w:val="000F2C70"/>
    <w:rsid w:val="0010269A"/>
    <w:rsid w:val="0012163E"/>
    <w:rsid w:val="00127219"/>
    <w:rsid w:val="0013108B"/>
    <w:rsid w:val="00140849"/>
    <w:rsid w:val="001511AC"/>
    <w:rsid w:val="00153773"/>
    <w:rsid w:val="00161E92"/>
    <w:rsid w:val="00162C20"/>
    <w:rsid w:val="0018214E"/>
    <w:rsid w:val="0018607A"/>
    <w:rsid w:val="00193222"/>
    <w:rsid w:val="00194BBD"/>
    <w:rsid w:val="001A5A42"/>
    <w:rsid w:val="001A5F2D"/>
    <w:rsid w:val="001C672A"/>
    <w:rsid w:val="001D4551"/>
    <w:rsid w:val="001E62A2"/>
    <w:rsid w:val="001F1442"/>
    <w:rsid w:val="00203A0D"/>
    <w:rsid w:val="002134C9"/>
    <w:rsid w:val="0022367D"/>
    <w:rsid w:val="00232779"/>
    <w:rsid w:val="00232EDC"/>
    <w:rsid w:val="002454C7"/>
    <w:rsid w:val="00245D27"/>
    <w:rsid w:val="00252B41"/>
    <w:rsid w:val="00266E0F"/>
    <w:rsid w:val="0027181A"/>
    <w:rsid w:val="00274F27"/>
    <w:rsid w:val="00284AB0"/>
    <w:rsid w:val="00285B13"/>
    <w:rsid w:val="002948FF"/>
    <w:rsid w:val="0029769A"/>
    <w:rsid w:val="002A0285"/>
    <w:rsid w:val="002A274D"/>
    <w:rsid w:val="002A5B21"/>
    <w:rsid w:val="002B0171"/>
    <w:rsid w:val="002B72F3"/>
    <w:rsid w:val="002C4EFD"/>
    <w:rsid w:val="002E6F65"/>
    <w:rsid w:val="0030554A"/>
    <w:rsid w:val="003105DC"/>
    <w:rsid w:val="00315F36"/>
    <w:rsid w:val="003262D0"/>
    <w:rsid w:val="00326AED"/>
    <w:rsid w:val="0034417B"/>
    <w:rsid w:val="00344AE3"/>
    <w:rsid w:val="00351207"/>
    <w:rsid w:val="003534EB"/>
    <w:rsid w:val="00361704"/>
    <w:rsid w:val="00361D33"/>
    <w:rsid w:val="00366F52"/>
    <w:rsid w:val="00367DFA"/>
    <w:rsid w:val="003802E1"/>
    <w:rsid w:val="0038526E"/>
    <w:rsid w:val="003856D0"/>
    <w:rsid w:val="003A7CA0"/>
    <w:rsid w:val="003B620C"/>
    <w:rsid w:val="003C49B0"/>
    <w:rsid w:val="003D51F2"/>
    <w:rsid w:val="003E66DF"/>
    <w:rsid w:val="003E75B6"/>
    <w:rsid w:val="00417FC9"/>
    <w:rsid w:val="00446F00"/>
    <w:rsid w:val="00452303"/>
    <w:rsid w:val="004527EA"/>
    <w:rsid w:val="00461B15"/>
    <w:rsid w:val="00475A4C"/>
    <w:rsid w:val="00493FB2"/>
    <w:rsid w:val="00495D8F"/>
    <w:rsid w:val="004A2991"/>
    <w:rsid w:val="004A41EF"/>
    <w:rsid w:val="004B3124"/>
    <w:rsid w:val="004B368D"/>
    <w:rsid w:val="004B4D8D"/>
    <w:rsid w:val="004B74CC"/>
    <w:rsid w:val="004B7C51"/>
    <w:rsid w:val="004C4A14"/>
    <w:rsid w:val="004D79CD"/>
    <w:rsid w:val="005062CA"/>
    <w:rsid w:val="00517ADD"/>
    <w:rsid w:val="00523D91"/>
    <w:rsid w:val="005327E9"/>
    <w:rsid w:val="0053782C"/>
    <w:rsid w:val="00556671"/>
    <w:rsid w:val="0057794A"/>
    <w:rsid w:val="00583230"/>
    <w:rsid w:val="0059417B"/>
    <w:rsid w:val="005951F9"/>
    <w:rsid w:val="00596063"/>
    <w:rsid w:val="005B0F7A"/>
    <w:rsid w:val="005B1AD1"/>
    <w:rsid w:val="005B1C77"/>
    <w:rsid w:val="005B6997"/>
    <w:rsid w:val="005C6A60"/>
    <w:rsid w:val="005D45F7"/>
    <w:rsid w:val="005D5233"/>
    <w:rsid w:val="005E05ED"/>
    <w:rsid w:val="005E275C"/>
    <w:rsid w:val="005F7A0E"/>
    <w:rsid w:val="00604C3D"/>
    <w:rsid w:val="006131DF"/>
    <w:rsid w:val="0061765C"/>
    <w:rsid w:val="00622552"/>
    <w:rsid w:val="00626534"/>
    <w:rsid w:val="00631A14"/>
    <w:rsid w:val="00631E79"/>
    <w:rsid w:val="00634AF5"/>
    <w:rsid w:val="00636D7B"/>
    <w:rsid w:val="00641951"/>
    <w:rsid w:val="0064276A"/>
    <w:rsid w:val="00645994"/>
    <w:rsid w:val="006531B1"/>
    <w:rsid w:val="00666868"/>
    <w:rsid w:val="00682F29"/>
    <w:rsid w:val="006A45D6"/>
    <w:rsid w:val="006A57C0"/>
    <w:rsid w:val="006C4E0D"/>
    <w:rsid w:val="006D54CF"/>
    <w:rsid w:val="006E6598"/>
    <w:rsid w:val="006F07E3"/>
    <w:rsid w:val="006F0EC9"/>
    <w:rsid w:val="00707829"/>
    <w:rsid w:val="007128A2"/>
    <w:rsid w:val="00720EBF"/>
    <w:rsid w:val="00727B93"/>
    <w:rsid w:val="00732388"/>
    <w:rsid w:val="0073426D"/>
    <w:rsid w:val="00737907"/>
    <w:rsid w:val="00751E2A"/>
    <w:rsid w:val="0075517A"/>
    <w:rsid w:val="007570AB"/>
    <w:rsid w:val="00770366"/>
    <w:rsid w:val="007727CB"/>
    <w:rsid w:val="0078114E"/>
    <w:rsid w:val="00783181"/>
    <w:rsid w:val="0079632E"/>
    <w:rsid w:val="007A1F9E"/>
    <w:rsid w:val="007D093D"/>
    <w:rsid w:val="007E3054"/>
    <w:rsid w:val="007E554B"/>
    <w:rsid w:val="007E6FF6"/>
    <w:rsid w:val="007F128C"/>
    <w:rsid w:val="007F4737"/>
    <w:rsid w:val="008149CF"/>
    <w:rsid w:val="00820D52"/>
    <w:rsid w:val="00822058"/>
    <w:rsid w:val="00823D1A"/>
    <w:rsid w:val="0083672B"/>
    <w:rsid w:val="00860F75"/>
    <w:rsid w:val="0086391A"/>
    <w:rsid w:val="00864492"/>
    <w:rsid w:val="00882A4D"/>
    <w:rsid w:val="00887C4A"/>
    <w:rsid w:val="0089138A"/>
    <w:rsid w:val="00894787"/>
    <w:rsid w:val="00894B5F"/>
    <w:rsid w:val="008A0861"/>
    <w:rsid w:val="008A25E9"/>
    <w:rsid w:val="008A5F33"/>
    <w:rsid w:val="008A65A1"/>
    <w:rsid w:val="008B24BF"/>
    <w:rsid w:val="008C2187"/>
    <w:rsid w:val="008D0789"/>
    <w:rsid w:val="008D6AE1"/>
    <w:rsid w:val="008F11CC"/>
    <w:rsid w:val="008F13BC"/>
    <w:rsid w:val="008F535A"/>
    <w:rsid w:val="00901D2D"/>
    <w:rsid w:val="00906E5E"/>
    <w:rsid w:val="00911E05"/>
    <w:rsid w:val="00911EFA"/>
    <w:rsid w:val="009169C4"/>
    <w:rsid w:val="00916E49"/>
    <w:rsid w:val="00920227"/>
    <w:rsid w:val="00922BBD"/>
    <w:rsid w:val="00923A3D"/>
    <w:rsid w:val="009242FD"/>
    <w:rsid w:val="00927D99"/>
    <w:rsid w:val="009351FA"/>
    <w:rsid w:val="00935AC3"/>
    <w:rsid w:val="0095741E"/>
    <w:rsid w:val="009622B6"/>
    <w:rsid w:val="00965BA8"/>
    <w:rsid w:val="00977119"/>
    <w:rsid w:val="00983F09"/>
    <w:rsid w:val="00985108"/>
    <w:rsid w:val="00985F99"/>
    <w:rsid w:val="00992D77"/>
    <w:rsid w:val="00993596"/>
    <w:rsid w:val="00997267"/>
    <w:rsid w:val="009D18CF"/>
    <w:rsid w:val="009D1C4F"/>
    <w:rsid w:val="009E0E57"/>
    <w:rsid w:val="009E16AA"/>
    <w:rsid w:val="009F58CE"/>
    <w:rsid w:val="009F7D20"/>
    <w:rsid w:val="00A13568"/>
    <w:rsid w:val="00A352F0"/>
    <w:rsid w:val="00A41EE3"/>
    <w:rsid w:val="00A805B9"/>
    <w:rsid w:val="00A80DF8"/>
    <w:rsid w:val="00A85ECB"/>
    <w:rsid w:val="00A86777"/>
    <w:rsid w:val="00A93DEE"/>
    <w:rsid w:val="00A95A78"/>
    <w:rsid w:val="00AA4EE3"/>
    <w:rsid w:val="00AB0956"/>
    <w:rsid w:val="00AB26E1"/>
    <w:rsid w:val="00AC2430"/>
    <w:rsid w:val="00AC7C6D"/>
    <w:rsid w:val="00AD1394"/>
    <w:rsid w:val="00AD1997"/>
    <w:rsid w:val="00AF13FC"/>
    <w:rsid w:val="00AF7DC9"/>
    <w:rsid w:val="00B0669A"/>
    <w:rsid w:val="00B12FE5"/>
    <w:rsid w:val="00B17C4B"/>
    <w:rsid w:val="00B23EB7"/>
    <w:rsid w:val="00B4058C"/>
    <w:rsid w:val="00B658E6"/>
    <w:rsid w:val="00B72388"/>
    <w:rsid w:val="00B76F27"/>
    <w:rsid w:val="00B81924"/>
    <w:rsid w:val="00B86B50"/>
    <w:rsid w:val="00B875E8"/>
    <w:rsid w:val="00BA2E33"/>
    <w:rsid w:val="00BB64B1"/>
    <w:rsid w:val="00BB6FCD"/>
    <w:rsid w:val="00BB7080"/>
    <w:rsid w:val="00BD1C70"/>
    <w:rsid w:val="00BD5870"/>
    <w:rsid w:val="00BE2B6D"/>
    <w:rsid w:val="00BF1316"/>
    <w:rsid w:val="00BF487F"/>
    <w:rsid w:val="00BF6DEF"/>
    <w:rsid w:val="00C20B5B"/>
    <w:rsid w:val="00C2111A"/>
    <w:rsid w:val="00C25A82"/>
    <w:rsid w:val="00C36E32"/>
    <w:rsid w:val="00C46B5C"/>
    <w:rsid w:val="00C60E6D"/>
    <w:rsid w:val="00C66A4A"/>
    <w:rsid w:val="00C70860"/>
    <w:rsid w:val="00C8088E"/>
    <w:rsid w:val="00C84FE2"/>
    <w:rsid w:val="00CB1134"/>
    <w:rsid w:val="00CB3368"/>
    <w:rsid w:val="00CB39B6"/>
    <w:rsid w:val="00CB5D21"/>
    <w:rsid w:val="00CD27DB"/>
    <w:rsid w:val="00CE171E"/>
    <w:rsid w:val="00CE2EA5"/>
    <w:rsid w:val="00CE7503"/>
    <w:rsid w:val="00D07261"/>
    <w:rsid w:val="00D1218B"/>
    <w:rsid w:val="00D177E7"/>
    <w:rsid w:val="00D22343"/>
    <w:rsid w:val="00D263F1"/>
    <w:rsid w:val="00D313A3"/>
    <w:rsid w:val="00D402CA"/>
    <w:rsid w:val="00D44CB2"/>
    <w:rsid w:val="00D45E02"/>
    <w:rsid w:val="00D516C8"/>
    <w:rsid w:val="00D623A6"/>
    <w:rsid w:val="00D80592"/>
    <w:rsid w:val="00D82BE1"/>
    <w:rsid w:val="00D9083F"/>
    <w:rsid w:val="00DB1A36"/>
    <w:rsid w:val="00DB481F"/>
    <w:rsid w:val="00DE6C20"/>
    <w:rsid w:val="00DF0066"/>
    <w:rsid w:val="00DF7804"/>
    <w:rsid w:val="00E00694"/>
    <w:rsid w:val="00E06A06"/>
    <w:rsid w:val="00E10633"/>
    <w:rsid w:val="00E11B95"/>
    <w:rsid w:val="00E327AE"/>
    <w:rsid w:val="00E36C1E"/>
    <w:rsid w:val="00E55EB5"/>
    <w:rsid w:val="00E56A0E"/>
    <w:rsid w:val="00E60394"/>
    <w:rsid w:val="00E80518"/>
    <w:rsid w:val="00E852C2"/>
    <w:rsid w:val="00E87F52"/>
    <w:rsid w:val="00EA73C1"/>
    <w:rsid w:val="00EB4CAE"/>
    <w:rsid w:val="00EC0F55"/>
    <w:rsid w:val="00EC2A35"/>
    <w:rsid w:val="00ED0C58"/>
    <w:rsid w:val="00EE18CC"/>
    <w:rsid w:val="00EF7114"/>
    <w:rsid w:val="00F01BD8"/>
    <w:rsid w:val="00F05BCC"/>
    <w:rsid w:val="00F17D02"/>
    <w:rsid w:val="00F24869"/>
    <w:rsid w:val="00F36F33"/>
    <w:rsid w:val="00F37734"/>
    <w:rsid w:val="00F419A6"/>
    <w:rsid w:val="00F43CD1"/>
    <w:rsid w:val="00F763E7"/>
    <w:rsid w:val="00F77E38"/>
    <w:rsid w:val="00F86C35"/>
    <w:rsid w:val="00F874FE"/>
    <w:rsid w:val="00F87CB0"/>
    <w:rsid w:val="00FA0560"/>
    <w:rsid w:val="00FA48C3"/>
    <w:rsid w:val="00FA538C"/>
    <w:rsid w:val="00FB6A72"/>
    <w:rsid w:val="00FC0053"/>
    <w:rsid w:val="00FE04B1"/>
    <w:rsid w:val="00FE2969"/>
    <w:rsid w:val="00FE455C"/>
    <w:rsid w:val="00FE5522"/>
    <w:rsid w:val="00FE7353"/>
    <w:rsid w:val="00FF0F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3222"/>
    <w:rPr>
      <w:rFonts w:ascii="Times New Roman" w:eastAsia="Times New Roman" w:hAnsi="Times New Roman" w:cs="Times New Roman"/>
      <w:lang w:val="en-C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lang w:val="en-US"/>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lang w:val="en-US"/>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lang w:val="en-US"/>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39"/>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lang w:val="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rPr>
      <w:lang w:val="en-US"/>
    </w:r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lang w:val="en-US"/>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6"/>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eastAsia="en-US"/>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rsid w:val="00C20B5B"/>
    <w:pPr>
      <w:spacing w:before="100" w:beforeAutospacing="1" w:after="100" w:afterAutospacing="1"/>
    </w:pPr>
    <w:rPr>
      <w:rFonts w:ascii="Arial" w:eastAsia="SimSun" w:hAnsi="Arial" w:cs="Arial"/>
      <w:color w:val="493118"/>
      <w:sz w:val="18"/>
      <w:szCs w:val="18"/>
      <w:lang w:val="en-US"/>
    </w:rPr>
  </w:style>
  <w:style w:type="paragraph" w:customStyle="1" w:styleId="B1">
    <w:name w:val="B1"/>
    <w:basedOn w:val="Normal"/>
    <w:link w:val="B1Zchn"/>
    <w:qFormat/>
    <w:rsid w:val="00E852C2"/>
    <w:pPr>
      <w:spacing w:after="180"/>
      <w:ind w:left="568" w:hanging="284"/>
    </w:pPr>
    <w:rPr>
      <w:sz w:val="20"/>
      <w:szCs w:val="20"/>
      <w:lang w:val="x-none" w:eastAsia="en-US"/>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13"/>
      </w:numPr>
      <w:overflowPunct w:val="0"/>
      <w:autoSpaceDE w:val="0"/>
      <w:autoSpaceDN w:val="0"/>
      <w:adjustRightInd w:val="0"/>
      <w:spacing w:after="120"/>
      <w:jc w:val="both"/>
      <w:textAlignment w:val="baseline"/>
    </w:pPr>
    <w:rPr>
      <w:rFonts w:eastAsia="MS Mincho"/>
      <w:szCs w:val="20"/>
      <w:lang w:val="en-US" w:eastAsia="x-none"/>
    </w:rPr>
  </w:style>
  <w:style w:type="paragraph" w:customStyle="1" w:styleId="B2">
    <w:name w:val="B2"/>
    <w:basedOn w:val="Normal"/>
    <w:link w:val="B2Char"/>
    <w:uiPriority w:val="99"/>
    <w:qFormat/>
    <w:rsid w:val="008A5F33"/>
    <w:pPr>
      <w:spacing w:after="180"/>
      <w:ind w:left="851" w:hanging="284"/>
    </w:pPr>
    <w:rPr>
      <w:sz w:val="20"/>
      <w:szCs w:val="20"/>
      <w:lang w:val="x-none" w:eastAsia="en-US"/>
    </w:rPr>
  </w:style>
  <w:style w:type="character" w:customStyle="1" w:styleId="B2Char">
    <w:name w:val="B2 Char"/>
    <w:link w:val="B2"/>
    <w:uiPriority w:val="99"/>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rsid w:val="00707829"/>
    <w:pPr>
      <w:spacing w:after="180"/>
      <w:ind w:left="1135" w:hanging="284"/>
    </w:pPr>
    <w:rPr>
      <w:sz w:val="20"/>
      <w:szCs w:val="20"/>
      <w:lang w:val="en-GB" w:eastAsia="en-US"/>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table" w:styleId="GridTable4-Accent1">
    <w:name w:val="Grid Table 4 Accent 1"/>
    <w:basedOn w:val="TableNormal"/>
    <w:uiPriority w:val="49"/>
    <w:rsid w:val="007727C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727C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normaltextrun">
    <w:name w:val="normaltextrun"/>
    <w:basedOn w:val="DefaultParagraphFont"/>
    <w:qFormat/>
    <w:rsid w:val="00F77E38"/>
  </w:style>
  <w:style w:type="paragraph" w:customStyle="1" w:styleId="paragraph">
    <w:name w:val="paragraph"/>
    <w:basedOn w:val="Normal"/>
    <w:uiPriority w:val="99"/>
    <w:qFormat/>
    <w:rsid w:val="00631E79"/>
    <w:pPr>
      <w:spacing w:before="100" w:beforeAutospacing="1" w:after="100" w:afterAutospacing="1"/>
    </w:pPr>
    <w:rPr>
      <w:lang w:val="sv-SE"/>
    </w:rPr>
  </w:style>
  <w:style w:type="character" w:customStyle="1" w:styleId="B10">
    <w:name w:val="B1 (文字)"/>
    <w:qFormat/>
    <w:locked/>
    <w:rsid w:val="005E05ED"/>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434132775">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4</Pages>
  <Words>1314</Words>
  <Characters>7491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Yushu Zhang</cp:lastModifiedBy>
  <cp:revision>8</cp:revision>
  <dcterms:created xsi:type="dcterms:W3CDTF">2021-10-27T04:17:00Z</dcterms:created>
  <dcterms:modified xsi:type="dcterms:W3CDTF">2021-11-05T00:50:00Z</dcterms:modified>
</cp:coreProperties>
</file>